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CB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黑体" w:hAnsi="黑体" w:eastAsia="黑体" w:cs="黑体"/>
          <w:spacing w:val="-2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pacing w:val="-20"/>
          <w:sz w:val="24"/>
          <w:szCs w:val="24"/>
          <w:lang w:val="en-US" w:eastAsia="zh-CN"/>
        </w:rPr>
        <w:t>附件3-6</w:t>
      </w:r>
    </w:p>
    <w:p w14:paraId="03F0D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  <w:t>本科教育教学审核评估指标体系可选项</w:t>
      </w:r>
    </w:p>
    <w:p w14:paraId="174741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  <w:t>分部门（单位）汇总</w:t>
      </w:r>
    </w:p>
    <w:p w14:paraId="199FF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pacing w:val="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28"/>
          <w:szCs w:val="28"/>
          <w:lang w:val="en-US" w:eastAsia="zh-CN"/>
        </w:rPr>
        <w:t xml:space="preserve"> 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28"/>
          <w:szCs w:val="28"/>
          <w:lang w:val="en-US" w:eastAsia="zh-CN"/>
        </w:rPr>
        <w:t>招生就业指导处）</w:t>
      </w:r>
    </w:p>
    <w:p w14:paraId="1571CE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textAlignment w:val="auto"/>
        <w:rPr>
          <w:rFonts w:hint="eastAsia"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定量指标可选项</w:t>
      </w:r>
    </w:p>
    <w:tbl>
      <w:tblPr>
        <w:tblStyle w:val="2"/>
        <w:tblW w:w="499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561"/>
        <w:gridCol w:w="4717"/>
        <w:gridCol w:w="854"/>
        <w:gridCol w:w="872"/>
        <w:gridCol w:w="780"/>
        <w:gridCol w:w="924"/>
      </w:tblGrid>
      <w:tr w14:paraId="42A1E6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tblHeader/>
        </w:trPr>
        <w:tc>
          <w:tcPr>
            <w:tcW w:w="3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A0D5B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一级</w:t>
            </w:r>
          </w:p>
          <w:p w14:paraId="44A4FA77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指标</w:t>
            </w:r>
          </w:p>
        </w:tc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DCB13A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二级</w:t>
            </w:r>
          </w:p>
          <w:p w14:paraId="1F1A4F89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指标</w:t>
            </w:r>
          </w:p>
        </w:tc>
        <w:tc>
          <w:tcPr>
            <w:tcW w:w="25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B2BC7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指标内容</w:t>
            </w: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767956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我校</w:t>
            </w:r>
          </w:p>
          <w:p w14:paraId="6AA4A3E4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数据</w:t>
            </w:r>
          </w:p>
        </w:tc>
        <w:tc>
          <w:tcPr>
            <w:tcW w:w="4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C516F">
            <w:pPr>
              <w:spacing w:line="0" w:lineRule="atLeast"/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辽宁省常模</w:t>
            </w: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F5FE35">
            <w:pPr>
              <w:spacing w:line="0" w:lineRule="atLeast"/>
              <w:jc w:val="center"/>
              <w:rPr>
                <w:rFonts w:hint="eastAsia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全国常模</w:t>
            </w: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92E0F">
            <w:pPr>
              <w:spacing w:line="0" w:lineRule="atLeast"/>
              <w:jc w:val="center"/>
              <w:rPr>
                <w:rFonts w:hint="default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师范类常模</w:t>
            </w:r>
          </w:p>
        </w:tc>
      </w:tr>
      <w:tr w14:paraId="1249F4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308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C6D30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7.</w:t>
            </w:r>
          </w:p>
          <w:p w14:paraId="7073DAE4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教学成效</w:t>
            </w:r>
          </w:p>
        </w:tc>
        <w:tc>
          <w:tcPr>
            <w:tcW w:w="302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43004E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7.2</w:t>
            </w:r>
          </w:p>
          <w:p w14:paraId="7630A9FD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适应度</w:t>
            </w:r>
          </w:p>
        </w:tc>
        <w:tc>
          <w:tcPr>
            <w:tcW w:w="25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2150961D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【可选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】升学率（含国内与国外）</w:t>
            </w:r>
          </w:p>
        </w:tc>
        <w:tc>
          <w:tcPr>
            <w:tcW w:w="4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330EA919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20.14</w:t>
            </w:r>
          </w:p>
        </w:tc>
        <w:tc>
          <w:tcPr>
            <w:tcW w:w="4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1544865E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21.67</w:t>
            </w: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45BFCE20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17.4</w:t>
            </w: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058AB797">
            <w:pPr>
              <w:widowControl/>
              <w:spacing w:line="0" w:lineRule="atLeast"/>
              <w:jc w:val="center"/>
              <w:rPr>
                <w:rFonts w:hint="default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</w:tr>
      <w:tr w14:paraId="259E7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7" w:hRule="atLeast"/>
        </w:trPr>
        <w:tc>
          <w:tcPr>
            <w:tcW w:w="30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BCEA9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302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7887C1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4389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81D02AC">
            <w:pPr>
              <w:spacing w:line="0" w:lineRule="atLeas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该项指标是否建议选择（）</w:t>
            </w:r>
          </w:p>
          <w:p w14:paraId="351460E3">
            <w:pPr>
              <w:spacing w:line="0" w:lineRule="atLeas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论证理由：</w:t>
            </w:r>
          </w:p>
          <w:p w14:paraId="77933476">
            <w:pPr>
              <w:widowControl/>
              <w:spacing w:line="0" w:lineRule="atLeast"/>
              <w:jc w:val="both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</w:tr>
      <w:tr w14:paraId="0A937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308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3E10CE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3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6F85B0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2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1451E6A4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【可选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18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】应届本科生初次就业率及结构</w:t>
            </w:r>
          </w:p>
          <w:p w14:paraId="3B8560DB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应届本科生初次就业率</w:t>
            </w:r>
          </w:p>
          <w:p w14:paraId="7D7CEAA1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应届生就业签署就业合同比例</w:t>
            </w:r>
          </w:p>
          <w:p w14:paraId="6ED367F5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应届生就业升学比例</w:t>
            </w:r>
          </w:p>
          <w:p w14:paraId="05D40DC6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应届生就业出国留学比例</w:t>
            </w:r>
          </w:p>
          <w:p w14:paraId="6152C30A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应届生就业自主创业和灵活就业比例</w:t>
            </w:r>
          </w:p>
        </w:tc>
        <w:tc>
          <w:tcPr>
            <w:tcW w:w="4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4C638211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91.10</w:t>
            </w:r>
          </w:p>
          <w:p w14:paraId="68F34A10">
            <w:pPr>
              <w:widowControl/>
              <w:spacing w:line="300" w:lineRule="exact"/>
              <w:jc w:val="center"/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  <w:t>——</w:t>
            </w:r>
          </w:p>
          <w:p w14:paraId="086E3F1B">
            <w:pPr>
              <w:widowControl/>
              <w:spacing w:line="300" w:lineRule="exact"/>
              <w:jc w:val="center"/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  <w:t>——</w:t>
            </w:r>
          </w:p>
          <w:p w14:paraId="713BA6B2">
            <w:pPr>
              <w:widowControl/>
              <w:spacing w:line="300" w:lineRule="exact"/>
              <w:jc w:val="center"/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  <w:t>——</w:t>
            </w:r>
          </w:p>
          <w:p w14:paraId="4437F4B1">
            <w:pPr>
              <w:widowControl/>
              <w:spacing w:line="300" w:lineRule="exact"/>
              <w:jc w:val="center"/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  <w:t>——</w:t>
            </w:r>
          </w:p>
        </w:tc>
        <w:tc>
          <w:tcPr>
            <w:tcW w:w="4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233D3321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86.8</w:t>
            </w:r>
          </w:p>
          <w:p w14:paraId="3F9D94C4">
            <w:pPr>
              <w:widowControl/>
              <w:spacing w:line="300" w:lineRule="exact"/>
              <w:jc w:val="center"/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  <w:t>——</w:t>
            </w:r>
          </w:p>
          <w:p w14:paraId="485EA51F">
            <w:pPr>
              <w:widowControl/>
              <w:spacing w:line="300" w:lineRule="exact"/>
              <w:jc w:val="center"/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  <w:t>——</w:t>
            </w:r>
          </w:p>
          <w:p w14:paraId="1C54A131">
            <w:pPr>
              <w:widowControl/>
              <w:spacing w:line="300" w:lineRule="exact"/>
              <w:jc w:val="center"/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  <w:t>——</w:t>
            </w:r>
          </w:p>
          <w:p w14:paraId="485ACDFE">
            <w:pPr>
              <w:widowControl/>
              <w:spacing w:line="300" w:lineRule="exact"/>
              <w:jc w:val="center"/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  <w:t>——</w:t>
            </w: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2B5640C4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84.85</w:t>
            </w:r>
          </w:p>
          <w:p w14:paraId="3F77DF36">
            <w:pPr>
              <w:widowControl/>
              <w:spacing w:line="300" w:lineRule="exact"/>
              <w:jc w:val="center"/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  <w:t>——</w:t>
            </w:r>
          </w:p>
          <w:p w14:paraId="10AF487E">
            <w:pPr>
              <w:widowControl/>
              <w:spacing w:line="300" w:lineRule="exact"/>
              <w:jc w:val="center"/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  <w:t>——</w:t>
            </w:r>
          </w:p>
          <w:p w14:paraId="0228557A">
            <w:pPr>
              <w:widowControl/>
              <w:spacing w:line="300" w:lineRule="exact"/>
              <w:jc w:val="center"/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  <w:t>——</w:t>
            </w:r>
          </w:p>
          <w:p w14:paraId="5ECBAE4D">
            <w:pPr>
              <w:widowControl/>
              <w:spacing w:line="300" w:lineRule="exact"/>
              <w:jc w:val="center"/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  <w:t>——</w:t>
            </w:r>
          </w:p>
        </w:tc>
        <w:tc>
          <w:tcPr>
            <w:tcW w:w="4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3F2D9" w:themeFill="accent4" w:themeFillTint="32"/>
            <w:vAlign w:val="center"/>
          </w:tcPr>
          <w:p w14:paraId="462237BD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  <w:lang w:val="en-US" w:eastAsia="zh-CN"/>
              </w:rPr>
              <w:t>84.53</w:t>
            </w:r>
          </w:p>
          <w:p w14:paraId="5D3677A2">
            <w:pPr>
              <w:widowControl/>
              <w:spacing w:line="300" w:lineRule="exact"/>
              <w:jc w:val="center"/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  <w:t>——</w:t>
            </w:r>
          </w:p>
          <w:p w14:paraId="4739F575">
            <w:pPr>
              <w:widowControl/>
              <w:spacing w:line="300" w:lineRule="exact"/>
              <w:jc w:val="center"/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  <w:t>——</w:t>
            </w:r>
          </w:p>
          <w:p w14:paraId="575468E0">
            <w:pPr>
              <w:widowControl/>
              <w:spacing w:line="300" w:lineRule="exact"/>
              <w:jc w:val="center"/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  <w:t>——</w:t>
            </w:r>
          </w:p>
          <w:p w14:paraId="4A3326BD"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eastAsia="宋体" w:cs="宋体" w:asciiTheme="minorAscii" w:hAnsiTheme="minorAscii"/>
                <w:color w:val="000000"/>
                <w:kern w:val="0"/>
                <w:szCs w:val="21"/>
                <w:lang w:val="en-US" w:eastAsia="zh-CN"/>
              </w:rPr>
              <w:t xml:space="preserve">——  </w:t>
            </w:r>
          </w:p>
        </w:tc>
      </w:tr>
      <w:tr w14:paraId="2B233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</w:trPr>
        <w:tc>
          <w:tcPr>
            <w:tcW w:w="30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F9231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30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D7E6D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438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E345F96">
            <w:pPr>
              <w:spacing w:line="0" w:lineRule="atLeas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该项指标是否建议选择（）</w:t>
            </w:r>
          </w:p>
          <w:p w14:paraId="28DC836D">
            <w:pPr>
              <w:spacing w:line="0" w:lineRule="atLeas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论证理由：</w:t>
            </w:r>
          </w:p>
          <w:p w14:paraId="48EFB0D6">
            <w:pPr>
              <w:widowControl/>
              <w:spacing w:line="0" w:lineRule="atLeast"/>
              <w:jc w:val="both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</w:p>
        </w:tc>
      </w:tr>
    </w:tbl>
    <w:p w14:paraId="68B30555">
      <w:pPr>
        <w:spacing w:line="320" w:lineRule="exact"/>
        <w:rPr>
          <w:rFonts w:ascii="Times New Roman" w:hAnsi="Times New Roman" w:cs="宋体"/>
          <w:b/>
          <w:kern w:val="0"/>
          <w:szCs w:val="21"/>
        </w:rPr>
      </w:pPr>
      <w:r>
        <w:rPr>
          <w:rFonts w:hint="eastAsia" w:cs="宋体" w:asciiTheme="minorEastAsia" w:hAnsiTheme="minorEastAsia"/>
          <w:b/>
          <w:kern w:val="0"/>
          <w:szCs w:val="21"/>
        </w:rPr>
        <w:t>【</w:t>
      </w:r>
      <w:r>
        <w:rPr>
          <w:rFonts w:hint="eastAsia" w:ascii="Times New Roman" w:hAnsi="Times New Roman" w:cs="宋体"/>
          <w:b/>
          <w:kern w:val="0"/>
          <w:szCs w:val="21"/>
        </w:rPr>
        <w:t>说明</w:t>
      </w:r>
      <w:r>
        <w:rPr>
          <w:rFonts w:hint="eastAsia" w:cs="宋体" w:asciiTheme="minorEastAsia" w:hAnsiTheme="minorEastAsia"/>
          <w:b/>
          <w:kern w:val="0"/>
          <w:szCs w:val="21"/>
        </w:rPr>
        <w:t>】</w:t>
      </w:r>
    </w:p>
    <w:p w14:paraId="053A8AA2">
      <w:pPr>
        <w:spacing w:line="320" w:lineRule="exact"/>
        <w:ind w:firstLine="422" w:firstLineChars="200"/>
        <w:rPr>
          <w:rFonts w:hint="default" w:ascii="Times New Roman" w:hAnsi="Times New Roman" w:cs="宋体" w:eastAsiaTheme="minorEastAsia"/>
          <w:b/>
          <w:color w:val="FF0000"/>
          <w:kern w:val="0"/>
          <w:szCs w:val="21"/>
          <w:lang w:val="en-US" w:eastAsia="zh-CN"/>
        </w:rPr>
      </w:pPr>
      <w:r>
        <w:rPr>
          <w:rFonts w:hint="eastAsia" w:ascii="Times New Roman" w:hAnsi="Times New Roman" w:cs="宋体"/>
          <w:b/>
          <w:color w:val="FF0000"/>
          <w:kern w:val="0"/>
          <w:szCs w:val="21"/>
          <w:lang w:val="en-US" w:eastAsia="zh-CN"/>
        </w:rPr>
        <w:t>1.论证理由部分可另附说明，或另附相应支撑材料</w:t>
      </w:r>
    </w:p>
    <w:p w14:paraId="0D04E24A">
      <w:pPr>
        <w:spacing w:line="320" w:lineRule="exact"/>
        <w:ind w:firstLine="422" w:firstLineChars="200"/>
        <w:rPr>
          <w:rFonts w:ascii="Times New Roman" w:hAnsi="Times New Roman" w:cs="宋体"/>
          <w:b/>
          <w:kern w:val="0"/>
          <w:szCs w:val="21"/>
        </w:rPr>
      </w:pP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宋体"/>
          <w:b/>
          <w:kern w:val="0"/>
          <w:szCs w:val="21"/>
        </w:rPr>
        <w:t>.“我校数据”来源为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2023</w:t>
      </w:r>
      <w:r>
        <w:rPr>
          <w:rFonts w:hint="eastAsia" w:ascii="Times New Roman" w:hAnsi="Times New Roman" w:cs="宋体"/>
          <w:b/>
          <w:kern w:val="0"/>
          <w:szCs w:val="21"/>
        </w:rPr>
        <w:t>年10月填报的“高等教育质量监测国家数据平台”中生成的数据报告，其中节点数据为202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 w:cs="宋体"/>
          <w:b/>
          <w:kern w:val="0"/>
          <w:szCs w:val="21"/>
        </w:rPr>
        <w:t>年9月30日，学年数据为202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宋体"/>
          <w:b/>
          <w:kern w:val="0"/>
          <w:szCs w:val="21"/>
        </w:rPr>
        <w:t>—202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 w:cs="宋体"/>
          <w:b/>
          <w:kern w:val="0"/>
          <w:szCs w:val="21"/>
        </w:rPr>
        <w:t>学年数据，财务数据截止到202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宋体"/>
          <w:b/>
          <w:kern w:val="0"/>
          <w:szCs w:val="21"/>
        </w:rPr>
        <w:t>年底，数据仅供参考。</w:t>
      </w:r>
    </w:p>
    <w:p w14:paraId="5BB08FC3">
      <w:pPr>
        <w:spacing w:line="320" w:lineRule="exact"/>
        <w:ind w:firstLine="422" w:firstLineChars="200"/>
        <w:rPr>
          <w:rFonts w:ascii="Times New Roman" w:hAnsi="Times New Roman" w:cs="宋体"/>
          <w:b/>
          <w:bCs/>
          <w:kern w:val="0"/>
          <w:szCs w:val="21"/>
        </w:rPr>
      </w:pP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 w:cs="宋体"/>
          <w:b/>
          <w:kern w:val="0"/>
          <w:szCs w:val="21"/>
        </w:rPr>
        <w:t>.涉及教学运行的基础数据，如教师信息、在校生信息、毕业生信息、课程信息等，会影响到多个指标数据生成。</w:t>
      </w:r>
    </w:p>
    <w:sectPr>
      <w:pgSz w:w="11906" w:h="16838"/>
      <w:pgMar w:top="1701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643DA27-A2B9-41CA-A567-A0E71A72E35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CCC97DC-283F-47D1-A7A2-5CFEB34D59B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43A1E858-430E-4120-B17A-398932DCB52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0MTkzMmZjZDRiOWRhNDVmYjc4ZmE4MjJmZmRlZWQifQ=="/>
  </w:docVars>
  <w:rsids>
    <w:rsidRoot w:val="01BF64DB"/>
    <w:rsid w:val="01BF64DB"/>
    <w:rsid w:val="07D47E30"/>
    <w:rsid w:val="12415CBE"/>
    <w:rsid w:val="16CA2104"/>
    <w:rsid w:val="28B31DB9"/>
    <w:rsid w:val="39A01A62"/>
    <w:rsid w:val="3A1A5C92"/>
    <w:rsid w:val="3F6A757A"/>
    <w:rsid w:val="54940564"/>
    <w:rsid w:val="714D2173"/>
    <w:rsid w:val="7CF2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414</Words>
  <Characters>468</Characters>
  <Lines>0</Lines>
  <Paragraphs>0</Paragraphs>
  <TotalTime>1</TotalTime>
  <ScaleCrop>false</ScaleCrop>
  <LinksUpToDate>false</LinksUpToDate>
  <CharactersWithSpaces>471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2023-10-30T12:21:00Z</dcterms:created>
  <dc:creator>Tillytilly</dc:creator>
  <cp:lastModifiedBy>Tillytilly</cp:lastModifiedBy>
  <dcterms:modified xsi:type="dcterms:W3CDTF">2024-08-27T01:48:29Z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8E85BF208CC84AAC8ECB95E70B82789B_11</vt:lpwstr>
  </property>
</Properties>
</file>