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95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黑体" w:hAnsi="黑体" w:eastAsia="黑体" w:cs="黑体"/>
          <w:spacing w:val="-2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pacing w:val="-20"/>
          <w:sz w:val="24"/>
          <w:szCs w:val="24"/>
          <w:lang w:val="en-US" w:eastAsia="zh-CN"/>
        </w:rPr>
        <w:t>附件3-8</w:t>
      </w:r>
    </w:p>
    <w:p w14:paraId="16411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  <w:t>本科教育教学审核评估指标体系可选项</w:t>
      </w:r>
    </w:p>
    <w:p w14:paraId="38AE3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  <w:t>分部门（单位）汇总</w:t>
      </w:r>
    </w:p>
    <w:p w14:paraId="3A7B9E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pacing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28"/>
          <w:szCs w:val="28"/>
          <w:lang w:val="en-US" w:eastAsia="zh-CN"/>
        </w:rPr>
        <w:t xml:space="preserve"> 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28"/>
          <w:szCs w:val="28"/>
          <w:lang w:val="en-US" w:eastAsia="zh-CN"/>
        </w:rPr>
        <w:t xml:space="preserve">大学生创新创业中心） </w:t>
      </w:r>
    </w:p>
    <w:p w14:paraId="6952F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60" w:lineRule="exact"/>
        <w:textAlignment w:val="auto"/>
        <w:rPr>
          <w:rFonts w:ascii="Times New Roman" w:hAnsi="Times New Roman" w:eastAsia="黑体"/>
          <w:spacing w:val="0"/>
          <w:sz w:val="30"/>
          <w:szCs w:val="30"/>
        </w:rPr>
      </w:pPr>
      <w:r>
        <w:rPr>
          <w:rFonts w:hint="eastAsia" w:ascii="Times New Roman" w:hAnsi="Times New Roman" w:eastAsia="黑体"/>
          <w:spacing w:val="0"/>
          <w:sz w:val="30"/>
          <w:szCs w:val="30"/>
        </w:rPr>
        <w:t>定量指标可选项</w:t>
      </w:r>
    </w:p>
    <w:tbl>
      <w:tblPr>
        <w:tblStyle w:val="4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732"/>
        <w:gridCol w:w="4758"/>
        <w:gridCol w:w="767"/>
        <w:gridCol w:w="899"/>
        <w:gridCol w:w="663"/>
        <w:gridCol w:w="867"/>
      </w:tblGrid>
      <w:tr w14:paraId="2553E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tblHeader/>
        </w:trPr>
        <w:tc>
          <w:tcPr>
            <w:tcW w:w="3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76B56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一级</w:t>
            </w:r>
          </w:p>
          <w:p w14:paraId="3BA8E616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</w:t>
            </w:r>
          </w:p>
        </w:tc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15B8E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二级</w:t>
            </w:r>
          </w:p>
          <w:p w14:paraId="63C58FC5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</w:t>
            </w:r>
          </w:p>
        </w:tc>
        <w:tc>
          <w:tcPr>
            <w:tcW w:w="256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E3D11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指标内容</w:t>
            </w:r>
          </w:p>
        </w:tc>
        <w:tc>
          <w:tcPr>
            <w:tcW w:w="4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88E8C6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我校</w:t>
            </w:r>
          </w:p>
          <w:p w14:paraId="113709AB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数据</w:t>
            </w:r>
          </w:p>
        </w:tc>
        <w:tc>
          <w:tcPr>
            <w:tcW w:w="4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830D3">
            <w:pPr>
              <w:spacing w:line="0" w:lineRule="atLeast"/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辽宁省常模</w:t>
            </w:r>
          </w:p>
        </w:tc>
        <w:tc>
          <w:tcPr>
            <w:tcW w:w="3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B6552">
            <w:pPr>
              <w:spacing w:line="0" w:lineRule="atLeast"/>
              <w:jc w:val="center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全国常模</w:t>
            </w:r>
          </w:p>
        </w:tc>
        <w:tc>
          <w:tcPr>
            <w:tcW w:w="4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7AED3">
            <w:pPr>
              <w:spacing w:line="0" w:lineRule="atLeast"/>
              <w:jc w:val="center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师范类常模</w:t>
            </w:r>
          </w:p>
        </w:tc>
      </w:tr>
      <w:tr w14:paraId="56D65F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32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411EF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2.</w:t>
            </w:r>
          </w:p>
          <w:p w14:paraId="4EE3C40A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培养过程</w:t>
            </w:r>
          </w:p>
        </w:tc>
        <w:tc>
          <w:tcPr>
            <w:tcW w:w="394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495DB482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2.6</w:t>
            </w:r>
          </w:p>
          <w:p w14:paraId="1672C097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创新创业教育</w:t>
            </w:r>
          </w:p>
        </w:tc>
        <w:tc>
          <w:tcPr>
            <w:tcW w:w="256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7667302E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【可选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】省级以上学科竞赛获奖学生人次数占学生总数的比例</w:t>
            </w:r>
          </w:p>
        </w:tc>
        <w:tc>
          <w:tcPr>
            <w:tcW w:w="4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0CBE0574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11.77</w:t>
            </w:r>
          </w:p>
        </w:tc>
        <w:tc>
          <w:tcPr>
            <w:tcW w:w="4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2150AC89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11.8</w:t>
            </w:r>
          </w:p>
        </w:tc>
        <w:tc>
          <w:tcPr>
            <w:tcW w:w="35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739837DE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6.59</w:t>
            </w:r>
          </w:p>
        </w:tc>
        <w:tc>
          <w:tcPr>
            <w:tcW w:w="4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251843BD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5.84</w:t>
            </w:r>
          </w:p>
        </w:tc>
      </w:tr>
      <w:tr w14:paraId="662B4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6" w:hRule="atLeast"/>
        </w:trPr>
        <w:tc>
          <w:tcPr>
            <w:tcW w:w="32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1F6CD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394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F682C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4284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5B3341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该项指标是否建议选择（）</w:t>
            </w:r>
          </w:p>
          <w:p w14:paraId="4325404E">
            <w:pPr>
              <w:spacing w:line="0" w:lineRule="atLeas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论证理由：</w:t>
            </w:r>
          </w:p>
          <w:p w14:paraId="5348930A">
            <w:pPr>
              <w:widowControl/>
              <w:spacing w:line="0" w:lineRule="atLeast"/>
              <w:jc w:val="both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</w:tr>
      <w:tr w14:paraId="56086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2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3B76B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.</w:t>
            </w:r>
          </w:p>
          <w:p w14:paraId="17DC8221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学生发展</w:t>
            </w:r>
          </w:p>
          <w:p w14:paraId="09EA154A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39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01040B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5.2</w:t>
            </w:r>
          </w:p>
          <w:p w14:paraId="212DA1BB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学业成绩及综合素质</w:t>
            </w:r>
          </w:p>
          <w:p w14:paraId="07F60E04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2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BE6D6" w:themeFill="accent2" w:themeFillTint="32"/>
            <w:vAlign w:val="center"/>
          </w:tcPr>
          <w:p w14:paraId="3BABD8BD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【可选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】在学期间获得国家认可的职业资格证书学生数占在校生数的比例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BE6D6" w:themeFill="accent2" w:themeFillTint="32"/>
            <w:vAlign w:val="center"/>
          </w:tcPr>
          <w:p w14:paraId="56A1CAD6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8.41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BE6D6" w:themeFill="accent2" w:themeFillTint="32"/>
            <w:vAlign w:val="center"/>
          </w:tcPr>
          <w:p w14:paraId="7876AFA1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2.54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BE6D6" w:themeFill="accent2" w:themeFillTint="32"/>
            <w:vAlign w:val="center"/>
          </w:tcPr>
          <w:p w14:paraId="0AFF4BFA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4.2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BE6D6" w:themeFill="accent2" w:themeFillTint="32"/>
            <w:vAlign w:val="center"/>
          </w:tcPr>
          <w:p w14:paraId="5CAAAF57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eastAsia="zh-CN"/>
              </w:rPr>
              <w:t>—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eastAsia="zh-CN"/>
              </w:rPr>
              <w:t>—</w:t>
            </w:r>
          </w:p>
        </w:tc>
      </w:tr>
      <w:tr w14:paraId="3D2CE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7" w:hRule="atLeast"/>
        </w:trPr>
        <w:tc>
          <w:tcPr>
            <w:tcW w:w="321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F51F9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39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6CB13D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428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top"/>
          </w:tcPr>
          <w:p w14:paraId="4BA0D48C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该项指标是否建议选择（）</w:t>
            </w:r>
          </w:p>
          <w:p w14:paraId="34E72F73">
            <w:pPr>
              <w:spacing w:line="0" w:lineRule="atLeas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论证理由：</w:t>
            </w:r>
          </w:p>
          <w:p w14:paraId="611140CF">
            <w:pPr>
              <w:widowControl/>
              <w:spacing w:line="0" w:lineRule="atLeast"/>
              <w:jc w:val="both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 w14:paraId="41C07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321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51CB3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39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8164DC">
            <w:pPr>
              <w:widowControl/>
              <w:spacing w:line="0" w:lineRule="atLeast"/>
              <w:jc w:val="both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25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1BD838DA">
            <w:pPr>
              <w:widowControl/>
              <w:spacing w:line="0" w:lineRule="atLeast"/>
              <w:jc w:val="both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【可选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】省级以上艺术展演、体育竞赛参赛获奖学生人次数占学生总数的比例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4C2D3CD5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1.26</w:t>
            </w:r>
          </w:p>
        </w:tc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56D6F597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0.84</w:t>
            </w:r>
          </w:p>
        </w:tc>
        <w:tc>
          <w:tcPr>
            <w:tcW w:w="3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11761425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0.98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BE6D6" w:themeFill="accent2" w:themeFillTint="32"/>
            <w:vAlign w:val="center"/>
          </w:tcPr>
          <w:p w14:paraId="28C81644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1.32</w:t>
            </w:r>
          </w:p>
        </w:tc>
      </w:tr>
      <w:tr w14:paraId="545EEB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2" w:hRule="atLeast"/>
        </w:trPr>
        <w:tc>
          <w:tcPr>
            <w:tcW w:w="32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0F99E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39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06FD5">
            <w:pPr>
              <w:widowControl/>
              <w:spacing w:line="0" w:lineRule="atLeast"/>
              <w:jc w:val="both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428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58B82B9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该项指标是否建议选择（）</w:t>
            </w:r>
          </w:p>
          <w:p w14:paraId="390DBDB7">
            <w:pPr>
              <w:spacing w:line="0" w:lineRule="atLeas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论证理由：</w:t>
            </w:r>
          </w:p>
          <w:p w14:paraId="259EB9BB">
            <w:pPr>
              <w:widowControl/>
              <w:spacing w:line="0" w:lineRule="atLeast"/>
              <w:jc w:val="both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</w:tr>
    </w:tbl>
    <w:p w14:paraId="6AC5C1EE">
      <w:pPr>
        <w:spacing w:line="320" w:lineRule="exact"/>
        <w:rPr>
          <w:rFonts w:ascii="Times New Roman" w:hAnsi="Times New Roman" w:cs="宋体"/>
          <w:b/>
          <w:kern w:val="0"/>
          <w:szCs w:val="21"/>
        </w:rPr>
      </w:pPr>
      <w:r>
        <w:rPr>
          <w:rFonts w:hint="eastAsia" w:cs="宋体" w:asciiTheme="minorEastAsia" w:hAnsiTheme="minorEastAsia"/>
          <w:b/>
          <w:kern w:val="0"/>
          <w:szCs w:val="21"/>
        </w:rPr>
        <w:t>【</w:t>
      </w:r>
      <w:r>
        <w:rPr>
          <w:rFonts w:hint="eastAsia" w:ascii="Times New Roman" w:hAnsi="Times New Roman" w:cs="宋体"/>
          <w:b/>
          <w:kern w:val="0"/>
          <w:szCs w:val="21"/>
        </w:rPr>
        <w:t>说明</w:t>
      </w:r>
      <w:r>
        <w:rPr>
          <w:rFonts w:hint="eastAsia" w:cs="宋体" w:asciiTheme="minorEastAsia" w:hAnsiTheme="minorEastAsia"/>
          <w:b/>
          <w:kern w:val="0"/>
          <w:szCs w:val="21"/>
        </w:rPr>
        <w:t>】</w:t>
      </w:r>
    </w:p>
    <w:p w14:paraId="5F2F0906">
      <w:pPr>
        <w:spacing w:line="320" w:lineRule="exact"/>
        <w:ind w:firstLine="422" w:firstLineChars="200"/>
        <w:rPr>
          <w:rFonts w:hint="default" w:ascii="Times New Roman" w:hAnsi="Times New Roman" w:cs="宋体" w:eastAsiaTheme="minorEastAsia"/>
          <w:b/>
          <w:color w:val="FF0000"/>
          <w:kern w:val="0"/>
          <w:szCs w:val="21"/>
          <w:lang w:val="en-US" w:eastAsia="zh-CN"/>
        </w:rPr>
      </w:pPr>
      <w:r>
        <w:rPr>
          <w:rFonts w:hint="eastAsia" w:ascii="Times New Roman" w:hAnsi="Times New Roman" w:cs="宋体"/>
          <w:b/>
          <w:color w:val="FF0000"/>
          <w:kern w:val="0"/>
          <w:szCs w:val="21"/>
          <w:lang w:val="en-US" w:eastAsia="zh-CN"/>
        </w:rPr>
        <w:t>1.论证理由部分可另附说明，或另附相应支撑材料</w:t>
      </w:r>
    </w:p>
    <w:p w14:paraId="0918199A">
      <w:pPr>
        <w:spacing w:line="320" w:lineRule="exact"/>
        <w:ind w:firstLine="422" w:firstLineChars="200"/>
        <w:rPr>
          <w:rFonts w:ascii="Times New Roman" w:hAnsi="Times New Roman" w:cs="宋体"/>
          <w:b/>
          <w:kern w:val="0"/>
          <w:szCs w:val="21"/>
        </w:rPr>
      </w:pP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.“我校数据”来源为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2023</w:t>
      </w:r>
      <w:r>
        <w:rPr>
          <w:rFonts w:hint="eastAsia" w:ascii="Times New Roman" w:hAnsi="Times New Roman" w:cs="宋体"/>
          <w:b/>
          <w:kern w:val="0"/>
          <w:szCs w:val="21"/>
        </w:rPr>
        <w:t>年10月填报的“高等教育质量监测国家数据平台”中生成的数据报告，其中节点数据为202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年9月30日，学年数据为202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—202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学年数据，财务数据截止到202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年底，数据仅供参考。</w:t>
      </w:r>
    </w:p>
    <w:p w14:paraId="4DFFBE79">
      <w:pPr>
        <w:spacing w:line="320" w:lineRule="exact"/>
        <w:ind w:firstLine="422" w:firstLineChars="200"/>
        <w:rPr>
          <w:rFonts w:ascii="Times New Roman" w:hAnsi="Times New Roman" w:cs="宋体"/>
          <w:b/>
          <w:bCs/>
          <w:kern w:val="0"/>
          <w:szCs w:val="21"/>
        </w:rPr>
      </w:pP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.涉及教学运行的基础数据，如教师信息、在校生信息、毕业生信息、课程信息等，会影响到多个指标数据生成。</w:t>
      </w:r>
    </w:p>
    <w:p w14:paraId="41116FB6"/>
    <w:p w14:paraId="43D0EAFD"/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AB06A0-7A00-4DC6-A45A-83F823CE673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C497431-435F-469B-9281-E29D7662A9B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D7AE1DB-1FB1-4E53-B617-14303232CAB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MTkzMmZjZDRiOWRhNDVmYjc4ZmE4MjJmZmRlZWQifQ=="/>
  </w:docVars>
  <w:rsids>
    <w:rsidRoot w:val="47665EB4"/>
    <w:rsid w:val="0B9557ED"/>
    <w:rsid w:val="1163363A"/>
    <w:rsid w:val="12C17033"/>
    <w:rsid w:val="14553D9A"/>
    <w:rsid w:val="2F3139F9"/>
    <w:rsid w:val="317D61CC"/>
    <w:rsid w:val="3E09318B"/>
    <w:rsid w:val="3EEB740F"/>
    <w:rsid w:val="414503ED"/>
    <w:rsid w:val="46305665"/>
    <w:rsid w:val="47665EB4"/>
    <w:rsid w:val="48303AFE"/>
    <w:rsid w:val="56252868"/>
    <w:rsid w:val="7C1C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490</Characters>
  <Lines>0</Lines>
  <Paragraphs>0</Paragraphs>
  <TotalTime>0</TotalTime>
  <ScaleCrop>false</ScaleCrop>
  <LinksUpToDate>false</LinksUpToDate>
  <CharactersWithSpaces>493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2023-10-30T11:56:00Z</dcterms:created>
  <dc:creator>Tillytilly</dc:creator>
  <cp:lastModifiedBy>Tillytilly</cp:lastModifiedBy>
  <dcterms:modified xsi:type="dcterms:W3CDTF">2024-09-05T02:41:42Z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EE7CB162183647E79FCA1542E8765EDF_11</vt:lpwstr>
  </property>
</Properties>
</file>