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94A" w:rsidRDefault="0025794A" w:rsidP="0025794A">
      <w:pPr>
        <w:pStyle w:val="a5"/>
        <w:spacing w:line="360" w:lineRule="auto"/>
        <w:textAlignment w:val="center"/>
        <w:rPr>
          <w:rFonts w:ascii="黑体" w:eastAsia="黑体" w:hAnsi="黑体"/>
          <w:sz w:val="28"/>
          <w:szCs w:val="28"/>
        </w:rPr>
      </w:pPr>
      <w:r>
        <w:rPr>
          <w:rFonts w:ascii="黑体" w:eastAsia="黑体" w:hAnsi="黑体" w:hint="eastAsia"/>
          <w:sz w:val="28"/>
          <w:szCs w:val="28"/>
        </w:rPr>
        <w:t>附件2-2</w:t>
      </w:r>
      <w:r>
        <w:rPr>
          <w:rFonts w:ascii="黑体" w:eastAsia="黑体" w:hAnsi="黑体"/>
          <w:sz w:val="28"/>
          <w:szCs w:val="28"/>
        </w:rPr>
        <w:t>0</w:t>
      </w:r>
    </w:p>
    <w:p w:rsidR="00E0676F" w:rsidRDefault="00B86A81" w:rsidP="0088548F">
      <w:pPr>
        <w:pStyle w:val="a5"/>
        <w:spacing w:line="360" w:lineRule="auto"/>
        <w:jc w:val="center"/>
        <w:textAlignment w:val="center"/>
        <w:rPr>
          <w:rFonts w:ascii="黑体" w:eastAsia="黑体" w:hAnsi="黑体"/>
          <w:sz w:val="32"/>
          <w:szCs w:val="32"/>
        </w:rPr>
      </w:pPr>
      <w:r>
        <w:rPr>
          <w:rFonts w:ascii="黑体" w:eastAsia="黑体" w:hAnsi="黑体" w:hint="eastAsia"/>
          <w:sz w:val="32"/>
          <w:szCs w:val="32"/>
        </w:rPr>
        <w:t>202</w:t>
      </w:r>
      <w:r>
        <w:rPr>
          <w:rFonts w:ascii="黑体" w:eastAsia="黑体" w:hAnsi="黑体"/>
          <w:sz w:val="32"/>
          <w:szCs w:val="32"/>
        </w:rPr>
        <w:t>1</w:t>
      </w:r>
      <w:r>
        <w:rPr>
          <w:rFonts w:ascii="黑体" w:eastAsia="黑体" w:hAnsi="黑体" w:hint="eastAsia"/>
          <w:sz w:val="32"/>
          <w:szCs w:val="32"/>
        </w:rPr>
        <w:t>年辽宁省普通高等学校</w:t>
      </w:r>
      <w:proofErr w:type="gramStart"/>
      <w:r w:rsidR="0088548F">
        <w:rPr>
          <w:rFonts w:ascii="黑体" w:eastAsia="黑体" w:hAnsi="黑体" w:hint="eastAsia"/>
          <w:sz w:val="32"/>
          <w:szCs w:val="32"/>
        </w:rPr>
        <w:t>设计学类</w:t>
      </w:r>
      <w:r>
        <w:rPr>
          <w:rFonts w:ascii="黑体" w:eastAsia="黑体" w:hAnsi="黑体" w:hint="eastAsia"/>
          <w:sz w:val="32"/>
          <w:szCs w:val="32"/>
        </w:rPr>
        <w:t>本科</w:t>
      </w:r>
      <w:proofErr w:type="gramEnd"/>
      <w:r>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711"/>
        <w:gridCol w:w="1881"/>
        <w:gridCol w:w="2606"/>
        <w:gridCol w:w="2820"/>
        <w:gridCol w:w="5650"/>
      </w:tblGrid>
      <w:tr w:rsidR="00E0676F">
        <w:trPr>
          <w:tblHeader/>
        </w:trPr>
        <w:tc>
          <w:tcPr>
            <w:tcW w:w="5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jc w:val="center"/>
              <w:rPr>
                <w:rFonts w:ascii="仿宋" w:eastAsia="仿宋" w:hAnsi="仿宋"/>
                <w:b/>
                <w:bCs/>
                <w:sz w:val="28"/>
                <w:szCs w:val="28"/>
              </w:rPr>
            </w:pPr>
            <w:r>
              <w:rPr>
                <w:rFonts w:ascii="仿宋" w:eastAsia="仿宋" w:hAnsi="仿宋" w:hint="eastAsia"/>
                <w:b/>
                <w:bCs/>
                <w:sz w:val="28"/>
                <w:szCs w:val="28"/>
              </w:rPr>
              <w:t>一级指标</w:t>
            </w:r>
          </w:p>
        </w:tc>
        <w:tc>
          <w:tcPr>
            <w:tcW w:w="64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jc w:val="center"/>
              <w:rPr>
                <w:rFonts w:ascii="仿宋" w:eastAsia="仿宋" w:hAnsi="仿宋"/>
                <w:b/>
                <w:bCs/>
                <w:sz w:val="28"/>
                <w:szCs w:val="28"/>
              </w:rPr>
            </w:pPr>
            <w:r>
              <w:rPr>
                <w:rFonts w:ascii="仿宋" w:eastAsia="仿宋" w:hAnsi="仿宋" w:hint="eastAsia"/>
                <w:b/>
                <w:bCs/>
                <w:sz w:val="28"/>
                <w:szCs w:val="28"/>
              </w:rPr>
              <w:t>二级指标</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jc w:val="center"/>
              <w:rPr>
                <w:rFonts w:ascii="仿宋" w:eastAsia="仿宋" w:hAnsi="仿宋"/>
                <w:b/>
                <w:bCs/>
                <w:sz w:val="28"/>
                <w:szCs w:val="28"/>
              </w:rPr>
            </w:pPr>
            <w:r>
              <w:rPr>
                <w:rFonts w:ascii="仿宋" w:eastAsia="仿宋" w:hAnsi="仿宋" w:hint="eastAsia"/>
                <w:b/>
                <w:bCs/>
                <w:sz w:val="28"/>
                <w:szCs w:val="28"/>
              </w:rPr>
              <w:t>主要观测点</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jc w:val="center"/>
              <w:rPr>
                <w:rFonts w:ascii="仿宋" w:eastAsia="仿宋" w:hAnsi="仿宋"/>
                <w:b/>
                <w:bCs/>
                <w:sz w:val="28"/>
                <w:szCs w:val="28"/>
              </w:rPr>
            </w:pPr>
            <w:r>
              <w:rPr>
                <w:rFonts w:ascii="仿宋" w:eastAsia="仿宋" w:hAnsi="仿宋" w:hint="eastAsia"/>
                <w:b/>
                <w:bCs/>
                <w:sz w:val="28"/>
                <w:szCs w:val="28"/>
              </w:rPr>
              <w:t>指标说明</w:t>
            </w:r>
          </w:p>
        </w:tc>
      </w:tr>
      <w:tr w:rsidR="00E0676F">
        <w:tc>
          <w:tcPr>
            <w:tcW w:w="583"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B86A81">
            <w:pPr>
              <w:numPr>
                <w:ilvl w:val="0"/>
                <w:numId w:val="1"/>
              </w:numPr>
              <w:jc w:val="center"/>
              <w:rPr>
                <w:rFonts w:ascii="仿宋" w:eastAsia="仿宋" w:hAnsi="仿宋"/>
              </w:rPr>
            </w:pPr>
            <w:r>
              <w:rPr>
                <w:rFonts w:ascii="仿宋" w:eastAsia="仿宋" w:hAnsi="仿宋" w:hint="eastAsia"/>
              </w:rPr>
              <w:t>培养方案与模式改革</w:t>
            </w:r>
            <w:r>
              <w:rPr>
                <w:rFonts w:ascii="仿宋" w:eastAsia="仿宋" w:hAnsi="仿宋" w:hint="eastAsia"/>
              </w:rPr>
              <w:br/>
              <w:t>（权重：0.1</w:t>
            </w:r>
            <w:r>
              <w:rPr>
                <w:rFonts w:ascii="仿宋" w:eastAsia="仿宋" w:hAnsi="仿宋"/>
              </w:rPr>
              <w:t>0</w:t>
            </w:r>
            <w:r>
              <w:rPr>
                <w:rFonts w:ascii="仿宋" w:eastAsia="仿宋" w:hAnsi="仿宋" w:hint="eastAsia"/>
              </w:rPr>
              <w:t>）</w:t>
            </w:r>
          </w:p>
          <w:p w:rsidR="00E0676F" w:rsidRDefault="00E0676F">
            <w:pPr>
              <w:jc w:val="both"/>
              <w:rPr>
                <w:rFonts w:ascii="仿宋" w:eastAsia="仿宋" w:hAnsi="仿宋"/>
              </w:rPr>
            </w:pPr>
          </w:p>
          <w:p w:rsidR="00E0676F" w:rsidRDefault="00E0676F">
            <w:pPr>
              <w:jc w:val="both"/>
              <w:rPr>
                <w:rFonts w:ascii="仿宋" w:eastAsia="仿宋" w:hAnsi="仿宋"/>
              </w:rPr>
            </w:pPr>
          </w:p>
          <w:p w:rsidR="00E0676F" w:rsidRDefault="00E0676F">
            <w:pPr>
              <w:jc w:val="both"/>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1</w:t>
            </w:r>
            <w:r>
              <w:rPr>
                <w:rFonts w:ascii="仿宋" w:eastAsia="仿宋" w:hAnsi="仿宋" w:hint="eastAsia"/>
              </w:rPr>
              <w:t>.1 培养方案（60%）</w:t>
            </w:r>
          </w:p>
        </w:tc>
        <w:tc>
          <w:tcPr>
            <w:tcW w:w="88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1.1.1 培养目标</w:t>
            </w:r>
          </w:p>
          <w:p w:rsidR="00E0676F" w:rsidRDefault="00B86A81">
            <w:pPr>
              <w:rPr>
                <w:rFonts w:ascii="仿宋" w:eastAsia="仿宋" w:hAnsi="仿宋"/>
              </w:rPr>
            </w:pPr>
            <w:r>
              <w:rPr>
                <w:rFonts w:ascii="仿宋" w:eastAsia="仿宋" w:hAnsi="仿宋" w:hint="eastAsia"/>
              </w:rPr>
              <w:t>（40%）</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88548F">
            <w:pPr>
              <w:rPr>
                <w:rFonts w:ascii="仿宋" w:eastAsia="仿宋" w:hAnsi="仿宋"/>
              </w:rPr>
            </w:pPr>
            <w:r>
              <w:rPr>
                <w:rFonts w:ascii="仿宋" w:eastAsia="仿宋" w:hAnsi="仿宋" w:hint="eastAsia"/>
              </w:rPr>
              <w:t>1.</w:t>
            </w:r>
            <w:r w:rsidR="00B86A81">
              <w:rPr>
                <w:rFonts w:ascii="仿宋" w:eastAsia="仿宋" w:hAnsi="仿宋" w:hint="eastAsia"/>
              </w:rPr>
              <w:t>培养目标与立德树人要求、经济社会发展需求的符合程度（40%）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培养目标：保证学生德智体美劳全面发展、适应经济社会发展需要、符合学校发展远景与人才</w:t>
            </w:r>
            <w:proofErr w:type="gramStart"/>
            <w:r>
              <w:rPr>
                <w:rFonts w:ascii="仿宋" w:eastAsia="仿宋" w:hAnsi="仿宋" w:hint="eastAsia"/>
              </w:rPr>
              <w:t>培养总</w:t>
            </w:r>
            <w:proofErr w:type="gramEnd"/>
            <w:r>
              <w:rPr>
                <w:rFonts w:ascii="仿宋" w:eastAsia="仿宋" w:hAnsi="仿宋" w:hint="eastAsia"/>
              </w:rPr>
              <w:t>目标。</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888"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7B3DB9">
            <w:pPr>
              <w:jc w:val="both"/>
              <w:rPr>
                <w:rFonts w:ascii="仿宋" w:eastAsia="仿宋" w:hAnsi="仿宋"/>
              </w:rPr>
            </w:pPr>
            <w:r>
              <w:rPr>
                <w:rFonts w:ascii="仿宋" w:eastAsia="仿宋" w:hAnsi="仿宋" w:hint="eastAsia"/>
              </w:rPr>
              <w:t>2.培养要求中毕业生的知识、能力和素质要求对培养目标的支撑程度（60%）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C12B08">
            <w:pPr>
              <w:jc w:val="both"/>
              <w:rPr>
                <w:rFonts w:ascii="仿宋" w:eastAsia="仿宋" w:hAnsi="仿宋"/>
              </w:rPr>
            </w:pPr>
            <w:r>
              <w:rPr>
                <w:rFonts w:ascii="仿宋" w:eastAsia="仿宋" w:hAnsi="仿宋" w:hint="eastAsia"/>
              </w:rPr>
              <w:t xml:space="preserve">　　培养要求：培养要求支撑培养目标，毕业生的知识、能力和素质符合专业规格（专业质量国标等）。</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88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1.1.2 课程体系</w:t>
            </w:r>
          </w:p>
          <w:p w:rsidR="00E0676F" w:rsidRDefault="00B86A81">
            <w:pPr>
              <w:rPr>
                <w:rFonts w:ascii="仿宋" w:eastAsia="仿宋" w:hAnsi="仿宋"/>
              </w:rPr>
            </w:pPr>
            <w:r>
              <w:rPr>
                <w:rFonts w:ascii="仿宋" w:eastAsia="仿宋" w:hAnsi="仿宋" w:hint="eastAsia"/>
              </w:rPr>
              <w:t>（60%）</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88548F">
            <w:pPr>
              <w:rPr>
                <w:rFonts w:ascii="仿宋" w:eastAsia="仿宋" w:hAnsi="仿宋"/>
              </w:rPr>
            </w:pPr>
            <w:r>
              <w:rPr>
                <w:rFonts w:ascii="仿宋" w:eastAsia="仿宋" w:hAnsi="仿宋" w:hint="eastAsia"/>
              </w:rPr>
              <w:t>1.</w:t>
            </w:r>
            <w:r w:rsidR="00B86A81">
              <w:rPr>
                <w:rFonts w:ascii="仿宋" w:eastAsia="仿宋" w:hAnsi="仿宋" w:hint="eastAsia"/>
              </w:rPr>
              <w:t>课程设置对培养目标和培养要求的支撑程度（40%）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课程设置对培养目标和培养要求达成的支持程度；专业核心知识领域的完整性、先进性；课程结构的优化（综合性与规范性）。</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888"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2.专业主干课程和主要专业课程对知识和能力要求的支持程度（60%）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教学计划中专业主干课程和主要专业课程对知识和能力要求的支持程度（强、中、弱支撑的程度分析）。</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1.2.1</w:t>
            </w:r>
            <w:proofErr w:type="gramStart"/>
            <w:r>
              <w:rPr>
                <w:rFonts w:ascii="仿宋" w:eastAsia="仿宋" w:hAnsi="仿宋" w:hint="eastAsia"/>
              </w:rPr>
              <w:t>专业思政与课程思政的</w:t>
            </w:r>
            <w:proofErr w:type="gramEnd"/>
            <w:r>
              <w:rPr>
                <w:rFonts w:ascii="仿宋" w:eastAsia="仿宋" w:hAnsi="仿宋" w:hint="eastAsia"/>
              </w:rPr>
              <w:t>改革措施与实施效果（30%）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proofErr w:type="gramStart"/>
            <w:r>
              <w:rPr>
                <w:rFonts w:ascii="仿宋" w:eastAsia="仿宋" w:hAnsi="仿宋" w:hint="eastAsia"/>
              </w:rPr>
              <w:t>专业思政与课程思政的</w:t>
            </w:r>
            <w:proofErr w:type="gramEnd"/>
            <w:r>
              <w:rPr>
                <w:rFonts w:ascii="仿宋" w:eastAsia="仿宋" w:hAnsi="仿宋" w:hint="eastAsia"/>
              </w:rPr>
              <w:t xml:space="preserve">改革措施与实施效果。　</w:t>
            </w:r>
          </w:p>
        </w:tc>
      </w:tr>
      <w:tr w:rsidR="00E0676F">
        <w:trPr>
          <w:trHeight w:val="465"/>
        </w:trPr>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1</w:t>
            </w:r>
            <w:r>
              <w:rPr>
                <w:rFonts w:ascii="仿宋" w:eastAsia="仿宋" w:hAnsi="仿宋" w:hint="eastAsia"/>
              </w:rPr>
              <w:t>.2.2 专业人才培养模式改革创新的具体措施与实施效果（40%）</w:t>
            </w:r>
          </w:p>
        </w:tc>
        <w:tc>
          <w:tcPr>
            <w:tcW w:w="1925"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专业人才培养模式改革创新（尤其在落实“新文科”建设方面）的具体措施和实施效果。</w:t>
            </w:r>
          </w:p>
        </w:tc>
      </w:tr>
      <w:tr w:rsidR="00E0676F">
        <w:trPr>
          <w:trHeight w:val="465"/>
        </w:trPr>
        <w:tc>
          <w:tcPr>
            <w:tcW w:w="583" w:type="pct"/>
            <w:vMerge/>
            <w:tcBorders>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1</w:t>
            </w:r>
            <w:r>
              <w:rPr>
                <w:rFonts w:ascii="仿宋" w:eastAsia="仿宋" w:hAnsi="仿宋" w:hint="eastAsia"/>
              </w:rPr>
              <w:t>.2.3 专业国际化人才培养的改革措施与实施效果（30%）</w:t>
            </w:r>
          </w:p>
        </w:tc>
        <w:tc>
          <w:tcPr>
            <w:tcW w:w="1925" w:type="pct"/>
            <w:tcBorders>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专业国际化人才培养的改革措施与实施效果。</w:t>
            </w:r>
          </w:p>
          <w:p w:rsidR="00E0676F" w:rsidRDefault="00E0676F">
            <w:pPr>
              <w:ind w:firstLineChars="200" w:firstLine="480"/>
              <w:rPr>
                <w:rFonts w:ascii="仿宋" w:eastAsia="仿宋" w:hAnsi="仿宋"/>
              </w:rPr>
            </w:pPr>
          </w:p>
        </w:tc>
      </w:tr>
      <w:tr w:rsidR="00E0676F">
        <w:trPr>
          <w:trHeight w:val="1295"/>
        </w:trPr>
        <w:tc>
          <w:tcPr>
            <w:tcW w:w="58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numPr>
                <w:ilvl w:val="0"/>
                <w:numId w:val="1"/>
              </w:numPr>
              <w:jc w:val="center"/>
              <w:rPr>
                <w:rFonts w:ascii="仿宋" w:eastAsia="仿宋" w:hAnsi="仿宋"/>
              </w:rPr>
            </w:pPr>
            <w:r>
              <w:rPr>
                <w:rFonts w:ascii="仿宋" w:eastAsia="仿宋" w:hAnsi="仿宋" w:hint="eastAsia"/>
              </w:rPr>
              <w:lastRenderedPageBreak/>
              <w:t>教学资源</w:t>
            </w:r>
            <w:r>
              <w:rPr>
                <w:rFonts w:ascii="仿宋" w:eastAsia="仿宋" w:hAnsi="仿宋" w:hint="eastAsia"/>
              </w:rPr>
              <w:br/>
              <w:t>（权重：0.3</w:t>
            </w:r>
            <w:r>
              <w:rPr>
                <w:rFonts w:ascii="仿宋" w:eastAsia="仿宋" w:hAnsi="仿宋"/>
              </w:rPr>
              <w:t>5</w:t>
            </w:r>
            <w:r>
              <w:rPr>
                <w:rFonts w:ascii="仿宋" w:eastAsia="仿宋" w:hAnsi="仿宋" w:hint="eastAsia"/>
              </w:rPr>
              <w:t>）</w:t>
            </w:r>
          </w:p>
          <w:p w:rsidR="00E0676F" w:rsidRDefault="00E0676F">
            <w:pPr>
              <w:jc w:val="both"/>
              <w:rPr>
                <w:rFonts w:ascii="仿宋" w:eastAsia="仿宋" w:hAnsi="仿宋"/>
              </w:rPr>
            </w:pPr>
          </w:p>
          <w:p w:rsidR="00E0676F" w:rsidRDefault="00E0676F">
            <w:pPr>
              <w:jc w:val="both"/>
              <w:rPr>
                <w:rFonts w:ascii="仿宋" w:eastAsia="仿宋" w:hAnsi="仿宋"/>
              </w:rPr>
            </w:pPr>
          </w:p>
          <w:p w:rsidR="00E0676F" w:rsidRDefault="00E0676F">
            <w:pPr>
              <w:jc w:val="both"/>
              <w:rPr>
                <w:rFonts w:ascii="仿宋" w:eastAsia="仿宋" w:hAnsi="仿宋"/>
              </w:rPr>
            </w:pPr>
          </w:p>
          <w:p w:rsidR="00E0676F" w:rsidRDefault="00E0676F">
            <w:pPr>
              <w:jc w:val="both"/>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 专业师资基本情况（35%）</w:t>
            </w:r>
          </w:p>
        </w:tc>
        <w:tc>
          <w:tcPr>
            <w:tcW w:w="1849" w:type="pct"/>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.1.1 专业生师比（25%）</w:t>
            </w:r>
          </w:p>
        </w:tc>
        <w:tc>
          <w:tcPr>
            <w:tcW w:w="1925" w:type="pct"/>
            <w:tcBorders>
              <w:top w:val="single" w:sz="6" w:space="0" w:color="000000"/>
              <w:left w:val="single" w:sz="4" w:space="0" w:color="auto"/>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w:t>
            </w:r>
            <w:r w:rsidR="0088548F">
              <w:rPr>
                <w:rFonts w:ascii="仿宋" w:eastAsia="仿宋" w:hAnsi="仿宋"/>
              </w:rPr>
              <w:t>2</w:t>
            </w:r>
            <w:r>
              <w:rPr>
                <w:rFonts w:ascii="仿宋" w:eastAsia="仿宋" w:hAnsi="仿宋" w:hint="eastAsia"/>
              </w:rPr>
              <w:t>的比例折算成本科生数，然后计算专业生师比。</w:t>
            </w:r>
          </w:p>
        </w:tc>
      </w:tr>
      <w:tr w:rsidR="00E0676F">
        <w:trPr>
          <w:trHeight w:val="372"/>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4" w:space="0" w:color="auto"/>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.1.2 硕士及以上学位教师比例（15%）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88548F">
            <w:pPr>
              <w:jc w:val="both"/>
              <w:rPr>
                <w:rFonts w:ascii="仿宋" w:eastAsia="仿宋" w:hAnsi="仿宋"/>
              </w:rPr>
            </w:pPr>
            <w:r>
              <w:rPr>
                <w:rFonts w:ascii="仿宋" w:eastAsia="仿宋" w:hAnsi="仿宋" w:hint="eastAsia"/>
              </w:rPr>
              <w:t xml:space="preserve">　　专业教师中具有硕士及以上学位教师所占比例。</w:t>
            </w:r>
          </w:p>
        </w:tc>
      </w:tr>
      <w:tr w:rsidR="00E0676F">
        <w:trPr>
          <w:trHeight w:val="5372"/>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.1.3 高层次教师情况（15%）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b/>
                <w:bCs/>
                <w:color w:val="0000FF"/>
              </w:rPr>
            </w:pPr>
            <w:r>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Pr>
                <w:rFonts w:ascii="仿宋" w:eastAsia="仿宋" w:hAnsi="仿宋" w:hint="eastAsia"/>
              </w:rPr>
              <w:t>及省黄大年</w:t>
            </w:r>
            <w:proofErr w:type="gramEnd"/>
            <w:r>
              <w:rPr>
                <w:rFonts w:ascii="仿宋" w:eastAsia="仿宋" w:hAnsi="仿宋" w:hint="eastAsia"/>
              </w:rPr>
              <w:t>式教师团队、兴辽英才计划。国家级行业协会（或学会）主任专家、设计类行业协（学）会国家级理事以上、省级副理事长（副会长）以上、教育部高等学校专业教学指导委员会委员、中国美术家协会理事及以上、中国美术家协会艺委会委员及以上、省级学科带头人及以上、省级学术团队带头人。</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888"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.1.4 近四年本专业高级职称教师为本专业本科生授课情况（15%）</w:t>
            </w: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88548F">
            <w:pPr>
              <w:rPr>
                <w:rFonts w:ascii="仿宋" w:eastAsia="仿宋" w:hAnsi="仿宋"/>
              </w:rPr>
            </w:pPr>
            <w:r>
              <w:rPr>
                <w:rFonts w:ascii="仿宋" w:eastAsia="仿宋" w:hAnsi="仿宋" w:hint="eastAsia"/>
              </w:rPr>
              <w:t>1.</w:t>
            </w:r>
            <w:r w:rsidR="00B86A81">
              <w:rPr>
                <w:rFonts w:ascii="仿宋" w:eastAsia="仿宋" w:hAnsi="仿宋" w:hint="eastAsia"/>
              </w:rPr>
              <w:t>近四年本专业教授为本专业本科生授课的授课率（40%）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教授授课主要是</w:t>
            </w:r>
            <w:proofErr w:type="gramStart"/>
            <w:r>
              <w:rPr>
                <w:rFonts w:ascii="仿宋" w:eastAsia="仿宋" w:hAnsi="仿宋" w:hint="eastAsia"/>
              </w:rPr>
              <w:t>指教授</w:t>
            </w:r>
            <w:proofErr w:type="gramEnd"/>
            <w:r>
              <w:rPr>
                <w:rFonts w:ascii="仿宋" w:eastAsia="仿宋" w:hAnsi="仿宋" w:hint="eastAsia"/>
              </w:rPr>
              <w:t>讲授理论课、专业课（专业基础课、专业主干课、专业选修课），而指</w:t>
            </w:r>
            <w:r>
              <w:rPr>
                <w:rFonts w:ascii="仿宋" w:eastAsia="仿宋" w:hAnsi="仿宋" w:hint="eastAsia"/>
              </w:rPr>
              <w:lastRenderedPageBreak/>
              <w:t>导实习教学环节不计算在内，</w:t>
            </w:r>
            <w:proofErr w:type="gramStart"/>
            <w:r>
              <w:rPr>
                <w:rFonts w:ascii="仿宋" w:eastAsia="仿宋" w:hAnsi="仿宋" w:hint="eastAsia"/>
              </w:rPr>
              <w:t>无教授</w:t>
            </w:r>
            <w:proofErr w:type="gramEnd"/>
            <w:r>
              <w:rPr>
                <w:rFonts w:ascii="仿宋" w:eastAsia="仿宋" w:hAnsi="仿宋" w:hint="eastAsia"/>
              </w:rPr>
              <w:t>的专业按副教授为本专业本科生授课的授课率统计。</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888"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96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2. 近四年由本专业高级职称教师承担的专业课（含专业基础课）的比例（60%）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w:t>
            </w:r>
            <w:r>
              <w:rPr>
                <w:rFonts w:ascii="仿宋" w:eastAsia="仿宋" w:hAnsi="仿宋" w:hint="eastAsia"/>
                <w:b/>
                <w:bCs/>
              </w:rPr>
              <w:t xml:space="preserve">　</w:t>
            </w:r>
            <w:r>
              <w:rPr>
                <w:rFonts w:ascii="仿宋" w:eastAsia="仿宋" w:hAnsi="仿宋" w:hint="eastAsia"/>
              </w:rPr>
              <w:t>专业课主要是指为本专业学生讲授的专业基础课、专业主干课、专业选修课，而实习教学环节不计算在内，高级职称教师指具有副高级（含副高级）以上职称的专业教师。</w:t>
            </w:r>
          </w:p>
        </w:tc>
      </w:tr>
      <w:tr w:rsidR="00E0676F">
        <w:trPr>
          <w:trHeight w:val="90"/>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.1.5 具有行业经历专任教师比例（15%）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行业经历是指：①在校的专业教师在相关行业连续工作6个月以上；②曾在省部级以上专业设计比赛中担任评委工作；③取得行业资格证书满一年以上。</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.1.6 中青年教师参加实践教学能力培训比例（15%）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中青年教师指45周岁以下（含45周岁）教师；参加实践教学能力培训指以下两种情况之一：①曾接受相关行业及专业单位培训并取得相应证书；②曾与相关行业及专业单位合作开展</w:t>
            </w:r>
            <w:proofErr w:type="gramStart"/>
            <w:r>
              <w:rPr>
                <w:rFonts w:ascii="仿宋" w:eastAsia="仿宋" w:hAnsi="仿宋" w:hint="eastAsia"/>
              </w:rPr>
              <w:t>过科研</w:t>
            </w:r>
            <w:proofErr w:type="gramEnd"/>
            <w:r>
              <w:rPr>
                <w:rFonts w:ascii="仿宋" w:eastAsia="仿宋" w:hAnsi="仿宋" w:hint="eastAsia"/>
              </w:rPr>
              <w:t>项目。</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.2 专业教师科研情况（25%）</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color w:val="FF0000"/>
              </w:rPr>
            </w:pPr>
            <w:r>
              <w:rPr>
                <w:rFonts w:ascii="仿宋" w:eastAsia="仿宋" w:hAnsi="仿宋" w:hint="eastAsia"/>
              </w:rPr>
              <w:t>2.2.1 近四年教师发表学术论文情况（20篇代表性论文）（40%）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Pr="00613200" w:rsidRDefault="00B86A81" w:rsidP="00613200">
            <w:pPr>
              <w:ind w:firstLine="480"/>
              <w:rPr>
                <w:rFonts w:ascii="仿宋" w:eastAsia="仿宋" w:hAnsi="仿宋"/>
              </w:rPr>
            </w:pPr>
            <w:r>
              <w:rPr>
                <w:rFonts w:ascii="仿宋" w:eastAsia="仿宋" w:hAnsi="仿宋" w:hint="eastAsia"/>
              </w:rPr>
              <w:t>评审注重核心期刊收录情况、原创性和本专业领域的引领性。学术论文指以第一署名单位在国内外期刊上发表的本专业领域内的学术论文。</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.2.2 近四年教师获得省部级以上科研奖励、创作作品获奖情况（30%）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480"/>
              <w:rPr>
                <w:rFonts w:ascii="仿宋" w:eastAsia="仿宋" w:hAnsi="仿宋"/>
              </w:rPr>
            </w:pPr>
            <w:r>
              <w:rPr>
                <w:rFonts w:ascii="仿宋" w:eastAsia="仿宋" w:hAnsi="仿宋" w:hint="eastAsia"/>
              </w:rPr>
              <w:t>科研奖励指获得国家自然科学奖、技术发明奖、科技进步奖、教育部高校科研成果奖（科学技术、人文社科）；省政府自然科学奖、技术发明奖、科技进步奖、哲学社科奖；国家级行业协会（或学会）（如中国文学艺术界联合会、中国美术家协会、中国工业设计协会、中国建筑学会、中国建筑装饰协会、中国室内装饰协会、中国风景园林</w:t>
            </w:r>
            <w:r>
              <w:rPr>
                <w:rFonts w:ascii="仿宋" w:eastAsia="仿宋" w:hAnsi="仿宋" w:hint="eastAsia"/>
              </w:rPr>
              <w:lastRenderedPageBreak/>
              <w:t>学会、中国城市规划学会、中国包装联合会设计委员会、中国服装设计师协会、中国纺织工业联合会、中国轻工业联合会、中国机械工业联合会、中国汽车工程学会等）奖励。</w:t>
            </w:r>
          </w:p>
          <w:p w:rsidR="00E0676F" w:rsidRDefault="00B86A81">
            <w:pPr>
              <w:ind w:firstLine="480"/>
              <w:rPr>
                <w:rFonts w:ascii="仿宋" w:eastAsia="仿宋" w:hAnsi="仿宋"/>
              </w:rPr>
            </w:pPr>
            <w:r>
              <w:rPr>
                <w:rFonts w:ascii="仿宋" w:eastAsia="仿宋" w:hAnsi="仿宋" w:hint="eastAsia"/>
              </w:rPr>
              <w:t>教师创作作品在专业比赛的获奖情况。专业比赛指：德国红点奖、德国</w:t>
            </w:r>
            <w:proofErr w:type="spellStart"/>
            <w:r>
              <w:rPr>
                <w:rFonts w:ascii="仿宋" w:eastAsia="仿宋" w:hAnsi="仿宋" w:hint="eastAsia"/>
              </w:rPr>
              <w:t>iF</w:t>
            </w:r>
            <w:proofErr w:type="spellEnd"/>
            <w:r>
              <w:rPr>
                <w:rFonts w:ascii="仿宋" w:eastAsia="仿宋" w:hAnsi="仿宋" w:hint="eastAsia"/>
              </w:rPr>
              <w:t>奖、美国IDEA设计奖、日本G-Mark奖、意大利A</w:t>
            </w:r>
            <w:proofErr w:type="gramStart"/>
            <w:r>
              <w:rPr>
                <w:rFonts w:ascii="仿宋" w:eastAsia="仿宋" w:hAnsi="仿宋" w:hint="eastAsia"/>
              </w:rPr>
              <w:t>’</w:t>
            </w:r>
            <w:proofErr w:type="gramEnd"/>
            <w:r>
              <w:rPr>
                <w:rFonts w:ascii="仿宋" w:eastAsia="仿宋" w:hAnsi="仿宋" w:hint="eastAsia"/>
              </w:rPr>
              <w:t>design设计大奖、纽约ADC设计奖、</w:t>
            </w:r>
            <w:proofErr w:type="spellStart"/>
            <w:r>
              <w:rPr>
                <w:rFonts w:ascii="仿宋" w:eastAsia="仿宋" w:hAnsi="仿宋" w:hint="eastAsia"/>
              </w:rPr>
              <w:t>Pantawards</w:t>
            </w:r>
            <w:proofErr w:type="spellEnd"/>
            <w:r>
              <w:rPr>
                <w:rFonts w:ascii="仿宋" w:eastAsia="仿宋" w:hAnsi="仿宋" w:hint="eastAsia"/>
              </w:rPr>
              <w:t>世界包装设计奖、中国美术家协会举办的全国美术作品展览入选及以上、国家奖励办公室备案奖励、以及政府（如中宣部、文化部、国家新闻出版总署、广电总局等）及全国性行业协会（如中国文学艺术界联合会、中国美术家协会、中国工业设计协会、中国建筑学会、中国建筑装饰协会、中国室内装饰协会、中国风景园林学会、中国城市规划学会、中国包装联合会设计委员会、中国服装设计师协会、中国纺织工业联合会、中国轻工业联合会、中国机械工业联合会、中国汽车工程学会等）主办的比赛，或由教育部教学指导委员会认定的比赛。该专业教师为第一作者。</w:t>
            </w:r>
          </w:p>
        </w:tc>
      </w:tr>
      <w:tr w:rsidR="00E0676F">
        <w:trPr>
          <w:trHeight w:val="2057"/>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.2.3 近四年教师主持科研项目情况（30%）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以第一立项单位主持国家级项目（科技部项目、教育部项目、国家自然基金项目、国家社科基金项目、国家艺术基金项目）、国家重大题材艺术创作项目、国防/军队重要科研项目、境外合作科研项目、部委级项目、省级项目（省教育厅科研立项、省科技厅立项、省自然科学基金、省哲学/社科</w:t>
            </w:r>
            <w:r>
              <w:rPr>
                <w:rFonts w:ascii="仿宋" w:eastAsia="仿宋" w:hAnsi="仿宋" w:hint="eastAsia"/>
              </w:rPr>
              <w:lastRenderedPageBreak/>
              <w:t>基金、省社科联项目、辽宁省委省政府决策咨询委员会项目）。</w:t>
            </w:r>
          </w:p>
        </w:tc>
      </w:tr>
      <w:tr w:rsidR="00E0676F">
        <w:trPr>
          <w:trHeight w:val="817"/>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.3 专业教师教研情况（25%）</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.3.1 近四年教师发表教研论文数量（30%）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C12B08">
            <w:pPr>
              <w:jc w:val="both"/>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E0676F">
        <w:trPr>
          <w:trHeight w:val="556"/>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6B5B67">
            <w:pPr>
              <w:jc w:val="both"/>
              <w:rPr>
                <w:rFonts w:ascii="仿宋" w:eastAsia="仿宋" w:hAnsi="仿宋"/>
              </w:rPr>
            </w:pPr>
            <w:r>
              <w:rPr>
                <w:rFonts w:ascii="仿宋" w:eastAsia="仿宋" w:hAnsi="仿宋"/>
              </w:rPr>
              <w:t>2</w:t>
            </w:r>
            <w:r>
              <w:rPr>
                <w:rFonts w:ascii="仿宋" w:eastAsia="仿宋" w:hAnsi="仿宋" w:hint="eastAsia"/>
              </w:rPr>
              <w:t>.3.2 近十年教师主持编写本专业教材情况（30%）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本专业教师主编的公开出版的本专业教材。</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6B5B67">
            <w:pPr>
              <w:rPr>
                <w:rFonts w:ascii="仿宋" w:eastAsia="仿宋" w:hAnsi="仿宋"/>
              </w:rPr>
            </w:pPr>
            <w:r>
              <w:rPr>
                <w:rFonts w:ascii="仿宋" w:eastAsia="仿宋" w:hAnsi="仿宋"/>
              </w:rPr>
              <w:t>2</w:t>
            </w:r>
            <w:r>
              <w:rPr>
                <w:rFonts w:ascii="仿宋" w:eastAsia="仿宋" w:hAnsi="仿宋" w:hint="eastAsia"/>
              </w:rPr>
              <w:t>.3.3 近十年教师主持省级以上教研项目情况（40%）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color w:val="7030A0"/>
              </w:rPr>
            </w:pPr>
            <w:r>
              <w:rPr>
                <w:rFonts w:ascii="仿宋" w:eastAsia="仿宋" w:hAnsi="仿宋"/>
              </w:rPr>
              <w:t>2</w:t>
            </w:r>
            <w:r>
              <w:rPr>
                <w:rFonts w:ascii="仿宋" w:eastAsia="仿宋" w:hAnsi="仿宋" w:hint="eastAsia"/>
              </w:rPr>
              <w:t>.4 实验实践教学条件（10%）</w:t>
            </w:r>
          </w:p>
          <w:p w:rsidR="00E0676F" w:rsidRDefault="00E0676F">
            <w:pPr>
              <w:rPr>
                <w:rFonts w:ascii="仿宋" w:eastAsia="仿宋" w:hAnsi="仿宋"/>
                <w:color w:val="7030A0"/>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.4.1 现有教学实验仪器设备（含软件）生均值（30%）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单价1000元以上的设备。</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.4.2 近四年新增的教学实验仪器设备（含软件）生均值（30%）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近四年新增的单价1000元以上设备。</w:t>
            </w:r>
          </w:p>
        </w:tc>
      </w:tr>
      <w:tr w:rsidR="00E0676F">
        <w:trPr>
          <w:trHeight w:val="807"/>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.4.3 近四年校外实习实践基地数量及各基地实习学生人次数与专业在校生总数的比值（40%）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E0676F">
        <w:trPr>
          <w:trHeight w:val="807"/>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2.5专业信息化教学资源</w:t>
            </w:r>
          </w:p>
          <w:p w:rsidR="00E0676F" w:rsidRDefault="00B86A81">
            <w:pPr>
              <w:rPr>
                <w:rFonts w:ascii="仿宋" w:eastAsia="仿宋" w:hAnsi="仿宋"/>
              </w:rPr>
            </w:pPr>
            <w:r>
              <w:rPr>
                <w:rFonts w:ascii="仿宋" w:eastAsia="仿宋" w:hAnsi="仿宋" w:hint="eastAsia"/>
              </w:rPr>
              <w:lastRenderedPageBreak/>
              <w:t>（5%）</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lastRenderedPageBreak/>
              <w:t>2</w:t>
            </w:r>
            <w:r>
              <w:rPr>
                <w:rFonts w:ascii="仿宋" w:eastAsia="仿宋" w:hAnsi="仿宋" w:hint="eastAsia"/>
              </w:rPr>
              <w:t>.5.1精品在线开放课程情况（50%）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精品在线开放课程是指国家级、省级、校级三类课程。</w:t>
            </w:r>
          </w:p>
        </w:tc>
      </w:tr>
      <w:tr w:rsidR="00E0676F">
        <w:trPr>
          <w:trHeight w:val="1068"/>
        </w:trPr>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rPr>
              <w:t>2</w:t>
            </w:r>
            <w:r>
              <w:rPr>
                <w:rFonts w:ascii="仿宋" w:eastAsia="仿宋" w:hAnsi="仿宋" w:hint="eastAsia"/>
              </w:rPr>
              <w:t>.5.2 现有专业电子图书、纸质图书资料源的</w:t>
            </w:r>
            <w:proofErr w:type="gramStart"/>
            <w:r>
              <w:rPr>
                <w:rFonts w:ascii="仿宋" w:eastAsia="仿宋" w:hAnsi="仿宋" w:hint="eastAsia"/>
              </w:rPr>
              <w:t>个</w:t>
            </w:r>
            <w:proofErr w:type="gramEnd"/>
            <w:r>
              <w:rPr>
                <w:rFonts w:ascii="仿宋" w:eastAsia="仿宋" w:hAnsi="仿宋" w:hint="eastAsia"/>
              </w:rPr>
              <w:t>（册）数（50%）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480"/>
              <w:rPr>
                <w:rFonts w:ascii="仿宋" w:eastAsia="仿宋" w:hAnsi="仿宋"/>
              </w:rPr>
            </w:pPr>
            <w:r>
              <w:rPr>
                <w:rFonts w:ascii="仿宋" w:eastAsia="仿宋" w:hAnsi="仿宋" w:hint="eastAsia"/>
              </w:rPr>
              <w:t>本专业的电子图书资料源（</w:t>
            </w:r>
            <w:proofErr w:type="gramStart"/>
            <w:r>
              <w:rPr>
                <w:rFonts w:ascii="仿宋" w:eastAsia="仿宋" w:hAnsi="仿宋" w:hint="eastAsia"/>
              </w:rPr>
              <w:t>含学校</w:t>
            </w:r>
            <w:proofErr w:type="gramEnd"/>
            <w:r>
              <w:rPr>
                <w:rFonts w:ascii="仿宋" w:eastAsia="仿宋" w:hAnsi="仿宋" w:hint="eastAsia"/>
              </w:rPr>
              <w:t>与院、系）是指供本专业教学科研使用的、由资源提供方完成更新的、可全文下载的电子资源，不包括随书的资料光盘。</w:t>
            </w:r>
          </w:p>
          <w:p w:rsidR="00E0676F" w:rsidRDefault="00B86A81">
            <w:pPr>
              <w:ind w:firstLine="480"/>
              <w:rPr>
                <w:rFonts w:ascii="仿宋" w:eastAsia="仿宋" w:hAnsi="仿宋"/>
              </w:rPr>
            </w:pPr>
            <w:r>
              <w:rPr>
                <w:rFonts w:ascii="仿宋" w:eastAsia="仿宋" w:hAnsi="仿宋" w:hint="eastAsia"/>
              </w:rPr>
              <w:t>本专业的纸质图书资料（</w:t>
            </w:r>
            <w:proofErr w:type="gramStart"/>
            <w:r>
              <w:rPr>
                <w:rFonts w:ascii="仿宋" w:eastAsia="仿宋" w:hAnsi="仿宋" w:hint="eastAsia"/>
              </w:rPr>
              <w:t>含学校</w:t>
            </w:r>
            <w:proofErr w:type="gramEnd"/>
            <w:r>
              <w:rPr>
                <w:rFonts w:ascii="仿宋" w:eastAsia="仿宋" w:hAnsi="仿宋" w:hint="eastAsia"/>
              </w:rPr>
              <w:t>与院、系）是指供本专业教学、科研使用的图书资料。</w:t>
            </w:r>
          </w:p>
        </w:tc>
      </w:tr>
      <w:tr w:rsidR="00E0676F">
        <w:tc>
          <w:tcPr>
            <w:tcW w:w="583" w:type="pct"/>
            <w:vMerge w:val="restart"/>
            <w:tcBorders>
              <w:top w:val="single" w:sz="6" w:space="0" w:color="000000"/>
              <w:left w:val="single" w:sz="6" w:space="0" w:color="000000"/>
              <w:right w:val="single" w:sz="6" w:space="0" w:color="000000"/>
            </w:tcBorders>
          </w:tcPr>
          <w:p w:rsidR="00E0676F" w:rsidRDefault="00B86A81">
            <w:pPr>
              <w:jc w:val="center"/>
              <w:rPr>
                <w:rFonts w:ascii="仿宋" w:eastAsia="仿宋" w:hAnsi="仿宋"/>
              </w:rPr>
            </w:pPr>
            <w:r>
              <w:rPr>
                <w:rFonts w:ascii="仿宋" w:eastAsia="仿宋" w:hAnsi="仿宋" w:hint="eastAsia"/>
              </w:rPr>
              <w:lastRenderedPageBreak/>
              <w:t>3.培养过程（权重：0.15）</w:t>
            </w: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3.1教学大纲(20%)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3.1.1教学大纲制定与执行（100%）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本专业主要专业课程教学大纲的内容和执行对课程目标的支持程度。</w:t>
            </w:r>
          </w:p>
        </w:tc>
      </w:tr>
      <w:tr w:rsidR="00E0676F">
        <w:tc>
          <w:tcPr>
            <w:tcW w:w="583" w:type="pct"/>
            <w:vMerge/>
            <w:tcBorders>
              <w:left w:val="single" w:sz="6" w:space="0" w:color="000000"/>
              <w:right w:val="single" w:sz="6" w:space="0" w:color="000000"/>
            </w:tcBorders>
          </w:tcPr>
          <w:p w:rsidR="00E0676F" w:rsidRDefault="00E0676F">
            <w:pPr>
              <w:jc w:val="cente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3.2课堂教学教与</w:t>
            </w:r>
            <w:proofErr w:type="gramStart"/>
            <w:r>
              <w:rPr>
                <w:rFonts w:ascii="仿宋" w:eastAsia="仿宋" w:hAnsi="仿宋" w:hint="eastAsia"/>
              </w:rPr>
              <w:t>学模式</w:t>
            </w:r>
            <w:proofErr w:type="gramEnd"/>
            <w:r>
              <w:rPr>
                <w:rFonts w:ascii="仿宋" w:eastAsia="仿宋" w:hAnsi="仿宋" w:hint="eastAsia"/>
              </w:rPr>
              <w:t>(20%)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3.</w:t>
            </w:r>
            <w:r>
              <w:rPr>
                <w:rFonts w:ascii="仿宋" w:eastAsia="仿宋" w:hAnsi="仿宋"/>
              </w:rPr>
              <w:t>2</w:t>
            </w:r>
            <w:r>
              <w:rPr>
                <w:rFonts w:ascii="仿宋" w:eastAsia="仿宋" w:hAnsi="仿宋" w:hint="eastAsia"/>
              </w:rPr>
              <w:t>.1课堂教学教与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本专业课堂教学教与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E0676F">
        <w:tc>
          <w:tcPr>
            <w:tcW w:w="583" w:type="pct"/>
            <w:vMerge/>
            <w:tcBorders>
              <w:left w:val="single" w:sz="6" w:space="0" w:color="000000"/>
              <w:right w:val="single" w:sz="6" w:space="0" w:color="000000"/>
            </w:tcBorders>
          </w:tcPr>
          <w:p w:rsidR="00E0676F" w:rsidRDefault="00E0676F">
            <w:pPr>
              <w:jc w:val="cente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3.3实践教学教与</w:t>
            </w:r>
            <w:proofErr w:type="gramStart"/>
            <w:r>
              <w:rPr>
                <w:rFonts w:ascii="仿宋" w:eastAsia="仿宋" w:hAnsi="仿宋" w:hint="eastAsia"/>
              </w:rPr>
              <w:t>学模式</w:t>
            </w:r>
            <w:proofErr w:type="gramEnd"/>
            <w:r>
              <w:rPr>
                <w:rFonts w:ascii="仿宋" w:eastAsia="仿宋" w:hAnsi="仿宋" w:hint="eastAsia"/>
              </w:rPr>
              <w:t>(20%)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3.</w:t>
            </w:r>
            <w:r>
              <w:rPr>
                <w:rFonts w:ascii="仿宋" w:eastAsia="仿宋" w:hAnsi="仿宋"/>
              </w:rPr>
              <w:t>3</w:t>
            </w:r>
            <w:r>
              <w:rPr>
                <w:rFonts w:ascii="仿宋" w:eastAsia="仿宋" w:hAnsi="仿宋" w:hint="eastAsia"/>
              </w:rPr>
              <w:t>.1实践教学教与</w:t>
            </w:r>
            <w:proofErr w:type="gramStart"/>
            <w:r>
              <w:rPr>
                <w:rFonts w:ascii="仿宋" w:eastAsia="仿宋" w:hAnsi="仿宋" w:hint="eastAsia"/>
              </w:rPr>
              <w:t>学模式</w:t>
            </w:r>
            <w:proofErr w:type="gramEnd"/>
            <w:r>
              <w:rPr>
                <w:rFonts w:ascii="仿宋" w:eastAsia="仿宋" w:hAnsi="仿宋" w:hint="eastAsia"/>
              </w:rPr>
              <w:t>改革与效果（100%）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C12B08">
            <w:pPr>
              <w:ind w:firstLineChars="200" w:firstLine="480"/>
              <w:jc w:val="both"/>
              <w:rPr>
                <w:rFonts w:ascii="仿宋" w:eastAsia="仿宋" w:hAnsi="仿宋"/>
              </w:rPr>
            </w:pPr>
            <w:r>
              <w:rPr>
                <w:rFonts w:ascii="仿宋" w:eastAsia="仿宋" w:hAnsi="仿宋" w:hint="eastAsia"/>
              </w:rPr>
              <w:t>本专业实践教学环节教与</w:t>
            </w:r>
            <w:proofErr w:type="gramStart"/>
            <w:r>
              <w:rPr>
                <w:rFonts w:ascii="仿宋" w:eastAsia="仿宋" w:hAnsi="仿宋" w:hint="eastAsia"/>
              </w:rPr>
              <w:t>学模式</w:t>
            </w:r>
            <w:proofErr w:type="gramEnd"/>
            <w:r>
              <w:rPr>
                <w:rFonts w:ascii="仿宋" w:eastAsia="仿宋" w:hAnsi="仿宋" w:hint="eastAsia"/>
              </w:rPr>
              <w:t>改革方案设计、执行情况及实施效果。</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3.4课堂教学学业评价(20%)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3.</w:t>
            </w:r>
            <w:r>
              <w:rPr>
                <w:rFonts w:ascii="仿宋" w:eastAsia="仿宋" w:hAnsi="仿宋"/>
              </w:rPr>
              <w:t>4</w:t>
            </w:r>
            <w:r>
              <w:rPr>
                <w:rFonts w:ascii="仿宋" w:eastAsia="仿宋" w:hAnsi="仿宋" w:hint="eastAsia"/>
              </w:rPr>
              <w:t>.1课堂教学学业评价情况（100%）</w:t>
            </w:r>
          </w:p>
          <w:p w:rsidR="00E0676F" w:rsidRDefault="00E0676F">
            <w:pPr>
              <w:rPr>
                <w:rFonts w:ascii="仿宋" w:eastAsia="仿宋" w:hAnsi="仿宋"/>
              </w:rPr>
            </w:pP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本专业课堂教学的学业评价方式、执行情况及实施效果。</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3.5实践教学学业评价(20%)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3.</w:t>
            </w:r>
            <w:r>
              <w:rPr>
                <w:rFonts w:ascii="仿宋" w:eastAsia="仿宋" w:hAnsi="仿宋"/>
              </w:rPr>
              <w:t>5</w:t>
            </w:r>
            <w:r>
              <w:rPr>
                <w:rFonts w:ascii="仿宋" w:eastAsia="仿宋" w:hAnsi="仿宋" w:hint="eastAsia"/>
              </w:rPr>
              <w:t>.1实践教学学业评价情况（100%）</w:t>
            </w:r>
          </w:p>
        </w:tc>
        <w:tc>
          <w:tcPr>
            <w:tcW w:w="1925"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实践教学环节的学业评价方式、执行情况及实施效果。</w:t>
            </w:r>
          </w:p>
        </w:tc>
      </w:tr>
      <w:tr w:rsidR="00E0676F">
        <w:trPr>
          <w:trHeight w:val="2090"/>
        </w:trPr>
        <w:tc>
          <w:tcPr>
            <w:tcW w:w="583"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B86A81">
            <w:pPr>
              <w:jc w:val="both"/>
              <w:rPr>
                <w:rFonts w:ascii="仿宋" w:eastAsia="仿宋" w:hAnsi="仿宋"/>
              </w:rPr>
            </w:pPr>
            <w:r>
              <w:rPr>
                <w:rFonts w:ascii="仿宋" w:eastAsia="仿宋" w:hAnsi="仿宋" w:hint="eastAsia"/>
              </w:rPr>
              <w:t>4.本科教学工程与教学成果奖</w:t>
            </w:r>
            <w:r>
              <w:rPr>
                <w:rFonts w:ascii="仿宋" w:eastAsia="仿宋" w:hAnsi="仿宋" w:hint="eastAsia"/>
              </w:rPr>
              <w:br/>
              <w:t>（权重：0.1</w:t>
            </w:r>
            <w:r>
              <w:rPr>
                <w:rFonts w:ascii="仿宋" w:eastAsia="仿宋" w:hAnsi="仿宋"/>
              </w:rPr>
              <w:t>0</w:t>
            </w:r>
            <w:r>
              <w:rPr>
                <w:rFonts w:ascii="仿宋" w:eastAsia="仿宋" w:hAnsi="仿宋" w:hint="eastAsia"/>
              </w:rPr>
              <w:t>）</w:t>
            </w:r>
          </w:p>
          <w:p w:rsidR="00E0676F" w:rsidRDefault="00E0676F">
            <w:pPr>
              <w:jc w:val="both"/>
              <w:rPr>
                <w:rFonts w:ascii="仿宋" w:eastAsia="仿宋" w:hAnsi="仿宋"/>
                <w:b/>
                <w:bCs/>
                <w:color w:val="7030A0"/>
                <w:sz w:val="36"/>
                <w:szCs w:val="36"/>
              </w:rPr>
            </w:pPr>
          </w:p>
          <w:p w:rsidR="00E0676F" w:rsidRDefault="00E0676F">
            <w:pPr>
              <w:jc w:val="both"/>
              <w:rPr>
                <w:rFonts w:ascii="仿宋" w:eastAsia="仿宋" w:hAnsi="仿宋"/>
              </w:rPr>
            </w:pPr>
          </w:p>
        </w:tc>
        <w:tc>
          <w:tcPr>
            <w:tcW w:w="64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4.1 本科教学工程项目（60%）</w:t>
            </w:r>
          </w:p>
        </w:tc>
        <w:tc>
          <w:tcPr>
            <w:tcW w:w="1849" w:type="pct"/>
            <w:gridSpan w:val="2"/>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4.1.1 历年省级以上本科教学工程项目（80%）</w:t>
            </w:r>
          </w:p>
        </w:tc>
        <w:tc>
          <w:tcPr>
            <w:tcW w:w="192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Pr>
                <w:rFonts w:ascii="仿宋" w:eastAsia="仿宋" w:hAnsi="仿宋"/>
              </w:rPr>
              <w:t>创新创业教育改革试点专业</w:t>
            </w:r>
            <w:r>
              <w:rPr>
                <w:rFonts w:ascii="仿宋" w:eastAsia="仿宋" w:hAnsi="仿宋" w:hint="eastAsia"/>
              </w:rPr>
              <w:t>、</w:t>
            </w:r>
            <w:r>
              <w:rPr>
                <w:rFonts w:ascii="仿宋" w:eastAsia="仿宋" w:hAnsi="仿宋"/>
              </w:rPr>
              <w:t>课程体系国际化试点专业</w:t>
            </w:r>
            <w:r>
              <w:rPr>
                <w:rFonts w:ascii="仿宋" w:eastAsia="仿宋" w:hAnsi="仿宋" w:hint="eastAsia"/>
              </w:rPr>
              <w:t>、重点支持专业、优势特色专业、向应用型转变示范专业、省一流本科教育示范专业、省一流课程、大学生校外实践教育基地、工程实践教育中心、创新创业教育实践基地、实验教</w:t>
            </w:r>
            <w:r>
              <w:rPr>
                <w:rFonts w:ascii="仿宋" w:eastAsia="仿宋" w:hAnsi="仿宋" w:hint="eastAsia"/>
              </w:rPr>
              <w:lastRenderedPageBreak/>
              <w:t>学示范中心、虚拟仿真实验教学中心、虚拟仿真实验教学项目、精品在线开放课程、精品视频公开课、精品资源共享课、立体化教材、精品教材、获奖教材。</w:t>
            </w:r>
          </w:p>
        </w:tc>
      </w:tr>
      <w:tr w:rsidR="00E0676F">
        <w:trPr>
          <w:trHeight w:val="550"/>
        </w:trPr>
        <w:tc>
          <w:tcPr>
            <w:tcW w:w="583"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E0676F" w:rsidRDefault="00E0676F"/>
        </w:tc>
        <w:tc>
          <w:tcPr>
            <w:tcW w:w="641"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E0676F" w:rsidRDefault="00E0676F"/>
        </w:tc>
        <w:tc>
          <w:tcPr>
            <w:tcW w:w="1849" w:type="pct"/>
            <w:gridSpan w:val="2"/>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tcPr>
          <w:p w:rsidR="00E0676F" w:rsidRDefault="00B86A81">
            <w:pPr>
              <w:rPr>
                <w:rFonts w:ascii="仿宋" w:eastAsia="仿宋" w:hAnsi="仿宋"/>
                <w:b/>
                <w:bCs/>
                <w:color w:val="7030A0"/>
              </w:rPr>
            </w:pPr>
            <w:r>
              <w:rPr>
                <w:rFonts w:ascii="仿宋" w:eastAsia="仿宋" w:hAnsi="仿宋" w:hint="eastAsia"/>
              </w:rPr>
              <w:t>4.1.2 双一流建设（20%）</w:t>
            </w:r>
          </w:p>
        </w:tc>
        <w:tc>
          <w:tcPr>
            <w:tcW w:w="1925" w:type="pc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E0676F" w:rsidRDefault="00B86A81">
            <w:pPr>
              <w:ind w:firstLineChars="200" w:firstLine="480"/>
              <w:rPr>
                <w:rFonts w:ascii="仿宋" w:eastAsia="仿宋" w:hAnsi="仿宋"/>
                <w:b/>
                <w:bCs/>
                <w:color w:val="7030A0"/>
              </w:rPr>
            </w:pPr>
            <w:r>
              <w:rPr>
                <w:rFonts w:ascii="仿宋" w:eastAsia="仿宋" w:hAnsi="仿宋" w:hint="eastAsia"/>
              </w:rPr>
              <w:t>国家级一流本科专业建设点、国家级一流本科课程。</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4.2 教学成果奖（40%）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4.2.1 历年省级以上教学成果奖（100%）</w:t>
            </w:r>
          </w:p>
        </w:tc>
        <w:tc>
          <w:tcPr>
            <w:tcW w:w="1925" w:type="pct"/>
            <w:tcBorders>
              <w:top w:val="single" w:sz="4" w:space="0" w:color="auto"/>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该专业教师参与完成的省级以上教学成果奖。</w:t>
            </w:r>
          </w:p>
        </w:tc>
      </w:tr>
      <w:tr w:rsidR="00E0676F">
        <w:tc>
          <w:tcPr>
            <w:tcW w:w="58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jc w:val="both"/>
              <w:rPr>
                <w:rFonts w:ascii="仿宋" w:eastAsia="仿宋" w:hAnsi="仿宋"/>
              </w:rPr>
            </w:pPr>
            <w:r>
              <w:rPr>
                <w:rFonts w:ascii="仿宋" w:eastAsia="仿宋" w:hAnsi="仿宋" w:hint="eastAsia"/>
              </w:rPr>
              <w:t>5.教学质量保障</w:t>
            </w:r>
            <w:r>
              <w:rPr>
                <w:rFonts w:ascii="仿宋" w:eastAsia="仿宋" w:hAnsi="仿宋" w:hint="eastAsia"/>
              </w:rPr>
              <w:br/>
              <w:t>（权重：0.10）</w:t>
            </w:r>
          </w:p>
          <w:p w:rsidR="00E0676F" w:rsidRDefault="00E0676F">
            <w:pPr>
              <w:jc w:val="both"/>
              <w:rPr>
                <w:rFonts w:ascii="仿宋" w:eastAsia="仿宋" w:hAnsi="仿宋"/>
              </w:rPr>
            </w:pP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5.1 质量保障体系（100%）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5.1.1 质量监控（30%）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教学质量监控的机制及教学各个环节的质量监控措施。</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5.1.2 质量评价（40%）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教学质量评价机制是否健全、是否涵盖教学的各个环节、是否有多角度的评价，质量评价措施及实施情况。</w:t>
            </w:r>
          </w:p>
        </w:tc>
      </w:tr>
      <w:tr w:rsidR="00E0676F">
        <w:tc>
          <w:tcPr>
            <w:tcW w:w="583"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5.1.3 反馈及改进（30%）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质量保障体系是否有持续改进。</w:t>
            </w:r>
          </w:p>
        </w:tc>
      </w:tr>
      <w:tr w:rsidR="00E0676F">
        <w:tc>
          <w:tcPr>
            <w:tcW w:w="583"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88548F">
            <w:pPr>
              <w:jc w:val="center"/>
              <w:rPr>
                <w:rFonts w:ascii="仿宋" w:eastAsia="仿宋" w:hAnsi="仿宋"/>
              </w:rPr>
            </w:pPr>
            <w:r>
              <w:rPr>
                <w:rFonts w:ascii="仿宋" w:eastAsia="仿宋" w:hAnsi="仿宋" w:hint="eastAsia"/>
              </w:rPr>
              <w:t>6.</w:t>
            </w:r>
            <w:r w:rsidR="00B86A81">
              <w:rPr>
                <w:rFonts w:ascii="仿宋" w:eastAsia="仿宋" w:hAnsi="仿宋" w:hint="eastAsia"/>
              </w:rPr>
              <w:t>培养效果与声望</w:t>
            </w:r>
            <w:r w:rsidR="00B86A81">
              <w:rPr>
                <w:rFonts w:ascii="仿宋" w:eastAsia="仿宋" w:hAnsi="仿宋" w:hint="eastAsia"/>
              </w:rPr>
              <w:br/>
              <w:t>（权重：0.20）</w:t>
            </w:r>
          </w:p>
        </w:tc>
        <w:tc>
          <w:tcPr>
            <w:tcW w:w="64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6.1.1 近四年就业率情况（50%）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6034A6">
            <w:pPr>
              <w:jc w:val="both"/>
              <w:rPr>
                <w:rFonts w:ascii="仿宋" w:eastAsia="仿宋" w:hAnsi="仿宋"/>
              </w:rPr>
            </w:pPr>
            <w:r>
              <w:rPr>
                <w:rFonts w:ascii="仿宋" w:eastAsia="仿宋" w:hAnsi="仿宋" w:hint="eastAsia"/>
              </w:rPr>
              <w:t xml:space="preserve">　　近四年本专业毕业生年终就业率、灵活就业率。</w:t>
            </w:r>
          </w:p>
        </w:tc>
      </w:tr>
      <w:tr w:rsidR="00E0676F">
        <w:trPr>
          <w:trHeight w:val="357"/>
        </w:trPr>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top w:val="single" w:sz="6" w:space="0" w:color="000000"/>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6.1.2 十名优秀校友简介（50%）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88548F">
            <w:pPr>
              <w:rPr>
                <w:rFonts w:ascii="仿宋" w:eastAsia="仿宋" w:hAnsi="仿宋"/>
              </w:rPr>
            </w:pPr>
            <w:r>
              <w:rPr>
                <w:rFonts w:ascii="仿宋" w:eastAsia="仿宋" w:hAnsi="仿宋" w:hint="eastAsia"/>
              </w:rPr>
              <w:t xml:space="preserve">　　校友指77级以后的本科生。每人简介500字以内。</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6.2 在校学生综合素质（40%）</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6.2.1 近四年参加创新创业活动及参与科研项目学生人次数与专业在校生总数的比值（15%）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b/>
                <w:bCs/>
                <w:color w:val="0000FF"/>
              </w:rPr>
            </w:pPr>
            <w:r>
              <w:rPr>
                <w:rFonts w:ascii="仿宋" w:eastAsia="仿宋" w:hAnsi="仿宋" w:hint="eastAsia"/>
              </w:rPr>
              <w:t>6.2.2近四年毕业设计（论文、作品）质量（20%）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88548F">
            <w:pPr>
              <w:ind w:firstLineChars="200" w:firstLine="480"/>
              <w:rPr>
                <w:rFonts w:ascii="仿宋" w:eastAsia="仿宋" w:hAnsi="仿宋"/>
                <w:b/>
                <w:bCs/>
                <w:color w:val="0000FF"/>
              </w:rPr>
            </w:pPr>
            <w:r>
              <w:rPr>
                <w:rFonts w:ascii="仿宋" w:eastAsia="仿宋" w:hAnsi="仿宋" w:hint="eastAsia"/>
              </w:rPr>
              <w:t>评价近四年毕业论文每年提交5篇、毕业设计作品每年提交5件/系列。</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color w:val="FF0000"/>
              </w:rPr>
            </w:pPr>
            <w:r>
              <w:rPr>
                <w:rFonts w:ascii="仿宋" w:eastAsia="仿宋" w:hAnsi="仿宋" w:hint="eastAsia"/>
              </w:rPr>
              <w:t>6.2.3近四年学生国际交流情况（10%）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88548F">
            <w:pPr>
              <w:ind w:firstLineChars="200" w:firstLine="480"/>
              <w:rPr>
                <w:rFonts w:ascii="仿宋" w:eastAsia="仿宋" w:hAnsi="仿宋"/>
              </w:rPr>
            </w:pPr>
            <w:r>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E0676F">
        <w:trPr>
          <w:trHeight w:val="587"/>
        </w:trPr>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6.2.4近四年学生获省级以上各类竞赛及展览奖励情况（30%）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该专业学生为获奖人之一。</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6.2.5 近四年学生发表学术论文及专利受理等情况（10%）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该专业学生为发表学术论文第一作者；该专业学生为专利受理限额内成员。</w:t>
            </w:r>
          </w:p>
        </w:tc>
      </w:tr>
      <w:tr w:rsidR="00E0676F">
        <w:tc>
          <w:tcPr>
            <w:tcW w:w="583" w:type="pct"/>
            <w:vMerge/>
            <w:tcBorders>
              <w:left w:val="single" w:sz="6" w:space="0" w:color="000000"/>
              <w:right w:val="single" w:sz="6" w:space="0" w:color="000000"/>
            </w:tcBorders>
          </w:tcPr>
          <w:p w:rsidR="00E0676F" w:rsidRDefault="00E0676F">
            <w:pPr>
              <w:rPr>
                <w:rFonts w:ascii="仿宋" w:eastAsia="仿宋" w:hAnsi="仿宋"/>
              </w:rPr>
            </w:pPr>
          </w:p>
        </w:tc>
        <w:tc>
          <w:tcPr>
            <w:tcW w:w="641" w:type="pct"/>
            <w:vMerge/>
            <w:tcBorders>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6.2.6</w:t>
            </w:r>
            <w:proofErr w:type="gramStart"/>
            <w:r>
              <w:rPr>
                <w:rFonts w:ascii="仿宋" w:eastAsia="仿宋" w:hAnsi="仿宋" w:hint="eastAsia"/>
              </w:rPr>
              <w:t>五</w:t>
            </w:r>
            <w:proofErr w:type="gramEnd"/>
            <w:r>
              <w:rPr>
                <w:rFonts w:ascii="仿宋" w:eastAsia="仿宋" w:hAnsi="仿宋" w:hint="eastAsia"/>
              </w:rPr>
              <w:t>名优秀在校生简介（15%）</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本专业在校生，每人简介300字以内。</w:t>
            </w:r>
          </w:p>
        </w:tc>
      </w:tr>
      <w:tr w:rsidR="00E0676F">
        <w:trPr>
          <w:trHeight w:val="933"/>
        </w:trPr>
        <w:tc>
          <w:tcPr>
            <w:tcW w:w="583" w:type="pct"/>
            <w:vMerge/>
            <w:tcBorders>
              <w:left w:val="single" w:sz="6" w:space="0" w:color="000000"/>
              <w:bottom w:val="single" w:sz="6" w:space="0" w:color="000000"/>
              <w:right w:val="single" w:sz="6" w:space="0" w:color="000000"/>
            </w:tcBorders>
          </w:tcPr>
          <w:p w:rsidR="00E0676F" w:rsidRDefault="00E0676F">
            <w:pPr>
              <w:rPr>
                <w:rFonts w:ascii="仿宋" w:eastAsia="仿宋" w:hAnsi="仿宋"/>
              </w:rPr>
            </w:pPr>
          </w:p>
        </w:tc>
        <w:tc>
          <w:tcPr>
            <w:tcW w:w="641" w:type="pct"/>
            <w:tcBorders>
              <w:top w:val="single" w:sz="6" w:space="0" w:color="000000"/>
              <w:left w:val="single" w:sz="6" w:space="0" w:color="000000"/>
              <w:bottom w:val="single" w:sz="6" w:space="0" w:color="000000"/>
              <w:right w:val="single" w:sz="6" w:space="0" w:color="000000"/>
            </w:tcBorders>
          </w:tcPr>
          <w:p w:rsidR="00E0676F" w:rsidRDefault="00B86A81">
            <w:pPr>
              <w:rPr>
                <w:rFonts w:ascii="仿宋" w:eastAsia="仿宋" w:hAnsi="仿宋"/>
              </w:rPr>
            </w:pPr>
            <w:r>
              <w:rPr>
                <w:rFonts w:ascii="仿宋" w:eastAsia="仿宋" w:hAnsi="仿宋" w:hint="eastAsia"/>
              </w:rPr>
              <w:t>6.3 招生录取情况（25%）</w:t>
            </w:r>
          </w:p>
        </w:tc>
        <w:tc>
          <w:tcPr>
            <w:tcW w:w="1849"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6.3.1近四年国家统一高考录取的本专业学生入学平均（标准）分数（</w:t>
            </w:r>
            <w:r>
              <w:rPr>
                <w:rFonts w:ascii="仿宋" w:eastAsia="仿宋" w:hAnsi="仿宋"/>
              </w:rPr>
              <w:t>10</w:t>
            </w:r>
            <w:r>
              <w:rPr>
                <w:rFonts w:ascii="仿宋" w:eastAsia="仿宋" w:hAnsi="仿宋" w:hint="eastAsia"/>
              </w:rPr>
              <w:t>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ind w:firstLineChars="200" w:firstLine="480"/>
              <w:rPr>
                <w:rFonts w:ascii="仿宋" w:eastAsia="仿宋" w:hAnsi="仿宋"/>
              </w:rPr>
            </w:pPr>
            <w:r>
              <w:rPr>
                <w:rFonts w:ascii="仿宋" w:eastAsia="仿宋" w:hAnsi="仿宋" w:hint="eastAsia"/>
              </w:rPr>
              <w:t>本专业每名学生高考总分（不包括加分）除以该生所在省高考满分值（文、理分科）后的标准分的平均值。</w:t>
            </w:r>
          </w:p>
        </w:tc>
      </w:tr>
      <w:tr w:rsidR="00E0676F">
        <w:tc>
          <w:tcPr>
            <w:tcW w:w="583"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rsidR="00E0676F" w:rsidRDefault="00B86A81">
            <w:pPr>
              <w:jc w:val="center"/>
              <w:rPr>
                <w:rFonts w:ascii="仿宋" w:eastAsia="仿宋" w:hAnsi="仿宋"/>
              </w:rPr>
            </w:pPr>
            <w:r>
              <w:rPr>
                <w:rFonts w:ascii="仿宋" w:eastAsia="仿宋" w:hAnsi="仿宋" w:hint="eastAsia"/>
              </w:rPr>
              <w:t>7.专业特色及服务区域经济发展情况</w:t>
            </w:r>
            <w:r>
              <w:rPr>
                <w:rFonts w:ascii="仿宋" w:eastAsia="仿宋" w:hAnsi="仿宋" w:hint="eastAsia"/>
              </w:rPr>
              <w:br/>
              <w:t>（满分10分）</w:t>
            </w:r>
          </w:p>
        </w:tc>
        <w:tc>
          <w:tcPr>
            <w:tcW w:w="2490"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7.1专业服务区域经济社会发展情况（20%）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rsidP="006034A6">
            <w:pPr>
              <w:rPr>
                <w:rFonts w:ascii="仿宋" w:eastAsia="仿宋" w:hAnsi="仿宋"/>
              </w:rPr>
            </w:pPr>
            <w:r>
              <w:rPr>
                <w:rFonts w:ascii="仿宋" w:eastAsia="仿宋" w:hAnsi="仿宋" w:hint="eastAsia"/>
              </w:rPr>
              <w:t xml:space="preserve">    本专业服务区域经济社会发展情况，并列</w:t>
            </w:r>
            <w:bookmarkStart w:id="0" w:name="_GoBack"/>
            <w:bookmarkEnd w:id="0"/>
            <w:r>
              <w:rPr>
                <w:rFonts w:ascii="仿宋" w:eastAsia="仿宋" w:hAnsi="仿宋" w:hint="eastAsia"/>
              </w:rPr>
              <w:t>举案例</w:t>
            </w:r>
            <w:r w:rsidR="006034A6">
              <w:rPr>
                <w:rFonts w:ascii="仿宋" w:eastAsia="仿宋" w:hAnsi="仿宋" w:hint="eastAsia"/>
              </w:rPr>
              <w:t>4</w:t>
            </w:r>
            <w:r>
              <w:rPr>
                <w:rFonts w:ascii="仿宋" w:eastAsia="仿宋" w:hAnsi="仿宋" w:hint="eastAsia"/>
              </w:rPr>
              <w:t>项（800字以内）。</w:t>
            </w:r>
          </w:p>
        </w:tc>
      </w:tr>
      <w:tr w:rsidR="00E0676F">
        <w:tc>
          <w:tcPr>
            <w:tcW w:w="583" w:type="pct"/>
            <w:vMerge/>
            <w:tcBorders>
              <w:left w:val="single" w:sz="6" w:space="0" w:color="000000"/>
              <w:bottom w:val="single" w:sz="6" w:space="0" w:color="000000"/>
              <w:right w:val="single" w:sz="6" w:space="0" w:color="000000"/>
            </w:tcBorders>
            <w:tcMar>
              <w:top w:w="75" w:type="dxa"/>
              <w:left w:w="75" w:type="dxa"/>
              <w:bottom w:w="75" w:type="dxa"/>
              <w:right w:w="75" w:type="dxa"/>
            </w:tcMar>
          </w:tcPr>
          <w:p w:rsidR="00E0676F" w:rsidRDefault="00E0676F">
            <w:pPr>
              <w:jc w:val="center"/>
              <w:rPr>
                <w:rFonts w:ascii="仿宋" w:eastAsia="仿宋" w:hAnsi="仿宋"/>
              </w:rPr>
            </w:pPr>
          </w:p>
        </w:tc>
        <w:tc>
          <w:tcPr>
            <w:tcW w:w="2490"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7.2 专业特色、实施过程和效果（80%）</w:t>
            </w:r>
          </w:p>
        </w:tc>
        <w:tc>
          <w:tcPr>
            <w:tcW w:w="19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E0676F" w:rsidRDefault="00B86A81">
            <w:pPr>
              <w:rPr>
                <w:rFonts w:ascii="仿宋" w:eastAsia="仿宋" w:hAnsi="仿宋"/>
              </w:rPr>
            </w:pPr>
            <w:r>
              <w:rPr>
                <w:rFonts w:ascii="仿宋" w:eastAsia="仿宋" w:hAnsi="仿宋" w:hint="eastAsia"/>
              </w:rPr>
              <w:t xml:space="preserve">　　在实践中培育和凝练出的专业特色及其效果说明（1000字以内）。</w:t>
            </w:r>
          </w:p>
        </w:tc>
      </w:tr>
    </w:tbl>
    <w:p w:rsidR="00E0676F" w:rsidRDefault="00B86A81">
      <w:r>
        <w:lastRenderedPageBreak/>
        <w:br w:type="textWrapping" w:clear="all"/>
      </w:r>
    </w:p>
    <w:p w:rsidR="00E0676F" w:rsidRDefault="00E0676F">
      <w:pPr>
        <w:rPr>
          <w:color w:val="0000FF"/>
          <w:sz w:val="40"/>
          <w:szCs w:val="40"/>
        </w:rPr>
      </w:pPr>
    </w:p>
    <w:sectPr w:rsidR="00E0676F">
      <w:headerReference w:type="default" r:id="rId8"/>
      <w:footerReference w:type="default" r:id="rId9"/>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32" w:rsidRDefault="001D0332">
      <w:r>
        <w:separator/>
      </w:r>
    </w:p>
  </w:endnote>
  <w:endnote w:type="continuationSeparator" w:id="0">
    <w:p w:rsidR="001D0332" w:rsidRDefault="001D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6F" w:rsidRDefault="00B86A81">
    <w:pPr>
      <w:pStyle w:val="a3"/>
      <w:jc w:val="center"/>
      <w:rPr>
        <w:sz w:val="22"/>
      </w:rPr>
    </w:pPr>
    <w:r>
      <w:rPr>
        <w:sz w:val="22"/>
      </w:rPr>
      <w:fldChar w:fldCharType="begin"/>
    </w:r>
    <w:r>
      <w:rPr>
        <w:sz w:val="22"/>
      </w:rPr>
      <w:instrText xml:space="preserve"> PAGE  \* MERGEFORMAT </w:instrText>
    </w:r>
    <w:r>
      <w:rPr>
        <w:sz w:val="22"/>
      </w:rPr>
      <w:fldChar w:fldCharType="separate"/>
    </w:r>
    <w:r w:rsidR="00C12B08">
      <w:rPr>
        <w:noProof/>
        <w:sz w:val="22"/>
      </w:rPr>
      <w:t>8</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32" w:rsidRDefault="001D0332">
      <w:r>
        <w:separator/>
      </w:r>
    </w:p>
  </w:footnote>
  <w:footnote w:type="continuationSeparator" w:id="0">
    <w:p w:rsidR="001D0332" w:rsidRDefault="001D0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76F" w:rsidRDefault="00E0676F">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2A6B49"/>
    <w:multiLevelType w:val="singleLevel"/>
    <w:tmpl w:val="6E2A6B4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A0D0B"/>
    <w:rsid w:val="001239F7"/>
    <w:rsid w:val="001D0332"/>
    <w:rsid w:val="0025794A"/>
    <w:rsid w:val="002F07C1"/>
    <w:rsid w:val="002F2615"/>
    <w:rsid w:val="00316C5E"/>
    <w:rsid w:val="00351E96"/>
    <w:rsid w:val="00372452"/>
    <w:rsid w:val="003A1680"/>
    <w:rsid w:val="003A21DA"/>
    <w:rsid w:val="003D7C51"/>
    <w:rsid w:val="003F2F6F"/>
    <w:rsid w:val="003F4B1C"/>
    <w:rsid w:val="00411AEC"/>
    <w:rsid w:val="00476DAB"/>
    <w:rsid w:val="004C3E4D"/>
    <w:rsid w:val="004E5916"/>
    <w:rsid w:val="005A3C79"/>
    <w:rsid w:val="005E6EDC"/>
    <w:rsid w:val="006014D9"/>
    <w:rsid w:val="006034A6"/>
    <w:rsid w:val="00613200"/>
    <w:rsid w:val="0068240F"/>
    <w:rsid w:val="006B5B67"/>
    <w:rsid w:val="00706A21"/>
    <w:rsid w:val="007B3DB9"/>
    <w:rsid w:val="007F1C50"/>
    <w:rsid w:val="00876EBD"/>
    <w:rsid w:val="0088110E"/>
    <w:rsid w:val="0088548F"/>
    <w:rsid w:val="008A7CBC"/>
    <w:rsid w:val="00933DF4"/>
    <w:rsid w:val="0097469A"/>
    <w:rsid w:val="00A00579"/>
    <w:rsid w:val="00A064EA"/>
    <w:rsid w:val="00A30DC9"/>
    <w:rsid w:val="00A316FD"/>
    <w:rsid w:val="00A3408D"/>
    <w:rsid w:val="00A57C5B"/>
    <w:rsid w:val="00B429A4"/>
    <w:rsid w:val="00B86A81"/>
    <w:rsid w:val="00BE17FD"/>
    <w:rsid w:val="00C12B08"/>
    <w:rsid w:val="00C25CB7"/>
    <w:rsid w:val="00C75771"/>
    <w:rsid w:val="00CB3F68"/>
    <w:rsid w:val="00D72DBF"/>
    <w:rsid w:val="00DD49A9"/>
    <w:rsid w:val="00E0676F"/>
    <w:rsid w:val="00E42A7D"/>
    <w:rsid w:val="00E74B40"/>
    <w:rsid w:val="00EA2B75"/>
    <w:rsid w:val="00EC665E"/>
    <w:rsid w:val="00F03012"/>
    <w:rsid w:val="00FB3966"/>
    <w:rsid w:val="00FF33C9"/>
    <w:rsid w:val="03BB5CD7"/>
    <w:rsid w:val="03E66F86"/>
    <w:rsid w:val="0B272F50"/>
    <w:rsid w:val="0F8B06F5"/>
    <w:rsid w:val="136C7D8A"/>
    <w:rsid w:val="147B3DEC"/>
    <w:rsid w:val="193C03A3"/>
    <w:rsid w:val="1DB55408"/>
    <w:rsid w:val="1F6525A0"/>
    <w:rsid w:val="22E8645B"/>
    <w:rsid w:val="23B50F14"/>
    <w:rsid w:val="27E914D9"/>
    <w:rsid w:val="28BA3F41"/>
    <w:rsid w:val="29DD2A05"/>
    <w:rsid w:val="320A2E98"/>
    <w:rsid w:val="388879EB"/>
    <w:rsid w:val="3AEC7D25"/>
    <w:rsid w:val="3DD374E2"/>
    <w:rsid w:val="41397C4F"/>
    <w:rsid w:val="42C91F96"/>
    <w:rsid w:val="46AA1DD1"/>
    <w:rsid w:val="4EDB0737"/>
    <w:rsid w:val="52F84FDE"/>
    <w:rsid w:val="53BE4875"/>
    <w:rsid w:val="597A7776"/>
    <w:rsid w:val="5F4B0156"/>
    <w:rsid w:val="62BB01A5"/>
    <w:rsid w:val="66EB0A87"/>
    <w:rsid w:val="6A286920"/>
    <w:rsid w:val="70727765"/>
    <w:rsid w:val="7123743F"/>
    <w:rsid w:val="74454B19"/>
    <w:rsid w:val="76606399"/>
    <w:rsid w:val="76E249B0"/>
    <w:rsid w:val="7E113E65"/>
    <w:rsid w:val="7FC23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67CB35-FB3C-4BE0-8EC5-09F715E0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pPr>
    <w:rPr>
      <w:rFonts w:cs="Times New Roman"/>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rFonts w:cs="Times New Roman"/>
      <w:sz w:val="18"/>
      <w:szCs w:val="18"/>
    </w:rPr>
  </w:style>
  <w:style w:type="paragraph" w:styleId="a5">
    <w:name w:val="Normal (Web)"/>
    <w:basedOn w:val="a"/>
    <w:uiPriority w:val="99"/>
    <w:semiHidden/>
    <w:unhideWhenUsed/>
    <w:qFormat/>
    <w:pPr>
      <w:spacing w:before="100" w:beforeAutospacing="1" w:after="100" w:afterAutospacing="1"/>
    </w:pPr>
  </w:style>
  <w:style w:type="character" w:customStyle="1" w:styleId="Char0">
    <w:name w:val="页眉 Char"/>
    <w:basedOn w:val="a0"/>
    <w:link w:val="a4"/>
    <w:uiPriority w:val="99"/>
    <w:qFormat/>
    <w:rPr>
      <w:rFonts w:ascii="宋体" w:eastAsia="宋体" w:hAnsi="宋体" w:cs="Times New Roman"/>
      <w:kern w:val="0"/>
      <w:sz w:val="18"/>
      <w:szCs w:val="18"/>
    </w:rPr>
  </w:style>
  <w:style w:type="character" w:customStyle="1" w:styleId="Char">
    <w:name w:val="页脚 Char"/>
    <w:basedOn w:val="a0"/>
    <w:link w:val="a3"/>
    <w:uiPriority w:val="99"/>
    <w:qFormat/>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842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774</Words>
  <Characters>4413</Characters>
  <Application>Microsoft Office Word</Application>
  <DocSecurity>0</DocSecurity>
  <Lines>36</Lines>
  <Paragraphs>10</Paragraphs>
  <ScaleCrop>false</ScaleCrop>
  <Company>Windows 10</Company>
  <LinksUpToDate>false</LinksUpToDate>
  <CharactersWithSpaces>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22</cp:revision>
  <cp:lastPrinted>2021-10-30T02:21:00Z</cp:lastPrinted>
  <dcterms:created xsi:type="dcterms:W3CDTF">2021-11-02T06:51:00Z</dcterms:created>
  <dcterms:modified xsi:type="dcterms:W3CDTF">2021-12-16T07:46:00Z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A6860B3D969348C19153189D34C2D065</vt:lpwstr>
  </property>
</Properties>
</file>