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2A48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黑体" w:hAnsi="黑体" w:eastAsia="黑体" w:cs="黑体"/>
          <w:spacing w:val="-20"/>
          <w:sz w:val="24"/>
          <w:szCs w:val="24"/>
          <w:lang w:val="en-US" w:eastAsia="zh-CN"/>
        </w:rPr>
      </w:pPr>
      <w:r>
        <w:rPr>
          <w:rFonts w:hint="eastAsia" w:ascii="黑体" w:hAnsi="黑体" w:eastAsia="黑体" w:cs="黑体"/>
          <w:spacing w:val="-20"/>
          <w:sz w:val="24"/>
          <w:szCs w:val="24"/>
          <w:lang w:val="en-US" w:eastAsia="zh-CN"/>
        </w:rPr>
        <w:t>附件3-1</w:t>
      </w:r>
    </w:p>
    <w:p w14:paraId="1CF52BC8">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eastAsia" w:ascii="方正小标宋简体" w:hAnsi="黑体" w:eastAsia="方正小标宋简体"/>
          <w:spacing w:val="-20"/>
          <w:sz w:val="44"/>
          <w:szCs w:val="44"/>
          <w:lang w:val="en-US" w:eastAsia="zh-CN"/>
        </w:rPr>
      </w:pPr>
      <w:r>
        <w:rPr>
          <w:rFonts w:hint="eastAsia" w:ascii="方正小标宋简体" w:hAnsi="黑体" w:eastAsia="方正小标宋简体"/>
          <w:spacing w:val="-20"/>
          <w:sz w:val="44"/>
          <w:szCs w:val="44"/>
          <w:lang w:val="en-US" w:eastAsia="zh-CN"/>
        </w:rPr>
        <w:t>本科教育教学审核评估指标体系可选项</w:t>
      </w:r>
    </w:p>
    <w:p w14:paraId="757CF83E">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eastAsia" w:ascii="方正小标宋简体" w:hAnsi="黑体" w:eastAsia="方正小标宋简体"/>
          <w:spacing w:val="-20"/>
          <w:sz w:val="44"/>
          <w:szCs w:val="44"/>
          <w:lang w:val="en-US" w:eastAsia="zh-CN"/>
        </w:rPr>
      </w:pPr>
      <w:r>
        <w:rPr>
          <w:rFonts w:hint="eastAsia" w:ascii="方正小标宋简体" w:hAnsi="黑体" w:eastAsia="方正小标宋简体"/>
          <w:spacing w:val="-20"/>
          <w:sz w:val="44"/>
          <w:szCs w:val="44"/>
          <w:lang w:val="en-US" w:eastAsia="zh-CN"/>
        </w:rPr>
        <w:t>分部门（单位）汇总</w:t>
      </w:r>
    </w:p>
    <w:p w14:paraId="224C57EA">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default" w:ascii="方正小标宋简体" w:hAnsi="方正小标宋简体" w:eastAsia="方正小标宋简体" w:cs="方正小标宋简体"/>
          <w:b w:val="0"/>
          <w:bCs w:val="0"/>
          <w:spacing w:val="0"/>
          <w:sz w:val="28"/>
          <w:szCs w:val="28"/>
          <w:lang w:val="en-US" w:eastAsia="zh-CN"/>
        </w:rPr>
      </w:pPr>
      <w:r>
        <w:rPr>
          <w:rFonts w:hint="eastAsia" w:ascii="方正小标宋简体" w:hAnsi="方正小标宋简体" w:eastAsia="方正小标宋简体" w:cs="方正小标宋简体"/>
          <w:b w:val="0"/>
          <w:bCs w:val="0"/>
          <w:spacing w:val="0"/>
          <w:sz w:val="28"/>
          <w:szCs w:val="28"/>
          <w:lang w:val="en-US" w:eastAsia="zh-CN"/>
        </w:rPr>
        <w:t>（教务处）</w:t>
      </w:r>
    </w:p>
    <w:p w14:paraId="46E165DC">
      <w:pPr>
        <w:keepNext w:val="0"/>
        <w:keepLines w:val="0"/>
        <w:pageBreakBefore w:val="0"/>
        <w:widowControl w:val="0"/>
        <w:numPr>
          <w:ilvl w:val="0"/>
          <w:numId w:val="1"/>
        </w:numPr>
        <w:kinsoku/>
        <w:wordWrap/>
        <w:overflowPunct/>
        <w:topLinePunct w:val="0"/>
        <w:autoSpaceDE/>
        <w:autoSpaceDN/>
        <w:bidi w:val="0"/>
        <w:adjustRightInd/>
        <w:snapToGrid/>
        <w:spacing w:after="157" w:afterLines="50" w:line="560" w:lineRule="exact"/>
        <w:textAlignment w:val="auto"/>
        <w:rPr>
          <w:rFonts w:hint="eastAsia" w:ascii="Times New Roman" w:hAnsi="Times New Roman" w:eastAsia="黑体"/>
          <w:sz w:val="30"/>
          <w:szCs w:val="30"/>
        </w:rPr>
      </w:pPr>
      <w:r>
        <w:rPr>
          <w:rFonts w:hint="eastAsia" w:ascii="Times New Roman" w:hAnsi="Times New Roman" w:eastAsia="黑体"/>
          <w:sz w:val="30"/>
          <w:szCs w:val="30"/>
          <w:lang w:val="en-US" w:eastAsia="zh-CN"/>
        </w:rPr>
        <w:t>定性指标</w:t>
      </w:r>
      <w:r>
        <w:rPr>
          <w:rFonts w:hint="eastAsia" w:ascii="Times New Roman" w:hAnsi="Times New Roman" w:eastAsia="黑体"/>
          <w:sz w:val="30"/>
          <w:szCs w:val="30"/>
        </w:rPr>
        <w:t>特色</w:t>
      </w:r>
      <w:r>
        <w:rPr>
          <w:rFonts w:hint="eastAsia" w:ascii="Times New Roman" w:hAnsi="Times New Roman" w:eastAsia="黑体"/>
          <w:sz w:val="30"/>
          <w:szCs w:val="30"/>
          <w:lang w:val="en-US" w:eastAsia="zh-CN"/>
        </w:rPr>
        <w:t>可</w:t>
      </w:r>
      <w:r>
        <w:rPr>
          <w:rFonts w:hint="eastAsia" w:ascii="Times New Roman" w:hAnsi="Times New Roman" w:eastAsia="黑体"/>
          <w:sz w:val="30"/>
          <w:szCs w:val="30"/>
        </w:rPr>
        <w:t>选项</w:t>
      </w:r>
    </w:p>
    <w:tbl>
      <w:tblPr>
        <w:tblStyle w:val="4"/>
        <w:tblW w:w="53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704"/>
        <w:gridCol w:w="1081"/>
        <w:gridCol w:w="7322"/>
      </w:tblGrid>
      <w:tr w14:paraId="25104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blHeader/>
          <w:jc w:val="center"/>
        </w:trPr>
        <w:tc>
          <w:tcPr>
            <w:tcW w:w="390" w:type="pct"/>
            <w:shd w:val="clear" w:color="auto" w:fill="auto"/>
            <w:vAlign w:val="center"/>
          </w:tcPr>
          <w:p w14:paraId="3FEDE796">
            <w:pPr>
              <w:spacing w:line="0" w:lineRule="atLeast"/>
              <w:jc w:val="center"/>
              <w:rPr>
                <w:b/>
              </w:rPr>
            </w:pPr>
            <w:r>
              <w:rPr>
                <w:rFonts w:hint="eastAsia"/>
                <w:b/>
              </w:rPr>
              <w:t>一级指标</w:t>
            </w:r>
          </w:p>
        </w:tc>
        <w:tc>
          <w:tcPr>
            <w:tcW w:w="356" w:type="pct"/>
            <w:shd w:val="clear" w:color="auto" w:fill="auto"/>
            <w:vAlign w:val="center"/>
          </w:tcPr>
          <w:p w14:paraId="78A693B9">
            <w:pPr>
              <w:spacing w:line="0" w:lineRule="atLeast"/>
              <w:jc w:val="center"/>
              <w:rPr>
                <w:b/>
              </w:rPr>
            </w:pPr>
            <w:r>
              <w:rPr>
                <w:rFonts w:hint="eastAsia"/>
                <w:b/>
              </w:rPr>
              <w:t>二级指标</w:t>
            </w:r>
          </w:p>
        </w:tc>
        <w:tc>
          <w:tcPr>
            <w:tcW w:w="4252" w:type="pct"/>
            <w:gridSpan w:val="2"/>
            <w:shd w:val="clear" w:color="auto" w:fill="auto"/>
            <w:vAlign w:val="center"/>
          </w:tcPr>
          <w:p w14:paraId="2CF6164A">
            <w:pPr>
              <w:spacing w:line="0" w:lineRule="atLeast"/>
              <w:jc w:val="center"/>
              <w:rPr>
                <w:b/>
              </w:rPr>
            </w:pPr>
            <w:r>
              <w:rPr>
                <w:rFonts w:hint="eastAsia"/>
                <w:b/>
              </w:rPr>
              <w:t>审核重点</w:t>
            </w:r>
          </w:p>
        </w:tc>
      </w:tr>
      <w:tr w14:paraId="239B5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390" w:type="pct"/>
            <w:vMerge w:val="restart"/>
            <w:shd w:val="clear" w:color="auto" w:fill="auto"/>
            <w:vAlign w:val="center"/>
          </w:tcPr>
          <w:p w14:paraId="4D003FB0">
            <w:pPr>
              <w:spacing w:line="0" w:lineRule="atLeast"/>
              <w:jc w:val="center"/>
              <w:rPr>
                <w:rFonts w:hint="eastAsia"/>
                <w:lang w:val="en-US" w:eastAsia="zh-CN"/>
              </w:rPr>
            </w:pPr>
            <w:r>
              <w:rPr>
                <w:rFonts w:hint="eastAsia"/>
                <w:lang w:val="en-US" w:eastAsia="zh-CN"/>
              </w:rPr>
              <w:t>2.</w:t>
            </w:r>
          </w:p>
          <w:p w14:paraId="78EBFE68">
            <w:pPr>
              <w:spacing w:line="0" w:lineRule="atLeast"/>
              <w:jc w:val="center"/>
              <w:rPr>
                <w:rFonts w:hint="default" w:eastAsiaTheme="minorEastAsia"/>
                <w:lang w:val="en-US" w:eastAsia="zh-CN"/>
              </w:rPr>
            </w:pPr>
            <w:r>
              <w:rPr>
                <w:rFonts w:hint="eastAsia"/>
                <w:lang w:val="en-US" w:eastAsia="zh-CN"/>
              </w:rPr>
              <w:t>培养过程</w:t>
            </w:r>
          </w:p>
        </w:tc>
        <w:tc>
          <w:tcPr>
            <w:tcW w:w="356" w:type="pct"/>
            <w:vMerge w:val="restart"/>
            <w:shd w:val="clear" w:color="auto" w:fill="auto"/>
            <w:vAlign w:val="center"/>
          </w:tcPr>
          <w:p w14:paraId="0CB458B7">
            <w:pPr>
              <w:spacing w:line="0" w:lineRule="atLeast"/>
            </w:pPr>
            <w:r>
              <w:t>K2.5</w:t>
            </w:r>
            <w:r>
              <w:rPr>
                <w:rFonts w:hint="eastAsia"/>
              </w:rPr>
              <w:t>卓越</w:t>
            </w:r>
          </w:p>
          <w:p w14:paraId="1241ED57">
            <w:pPr>
              <w:spacing w:line="0" w:lineRule="atLeast"/>
            </w:pPr>
            <w:r>
              <w:rPr>
                <w:rFonts w:hint="eastAsia"/>
              </w:rPr>
              <w:t>培养</w:t>
            </w:r>
          </w:p>
        </w:tc>
        <w:tc>
          <w:tcPr>
            <w:tcW w:w="547" w:type="pct"/>
            <w:shd w:val="clear" w:color="auto" w:fill="FEF2CB" w:themeFill="accent3" w:themeFillTint="32"/>
            <w:vAlign w:val="center"/>
          </w:tcPr>
          <w:p w14:paraId="3B7BDE6E">
            <w:pPr>
              <w:spacing w:line="0" w:lineRule="atLeast"/>
            </w:pPr>
            <w:r>
              <w:t>K</w:t>
            </w:r>
            <w:r>
              <w:rPr>
                <w:rFonts w:hint="eastAsia"/>
              </w:rPr>
              <w:t xml:space="preserve"> 2.5.1</w:t>
            </w:r>
          </w:p>
        </w:tc>
        <w:tc>
          <w:tcPr>
            <w:tcW w:w="3705" w:type="pct"/>
            <w:shd w:val="clear" w:color="auto" w:fill="FEF2CB" w:themeFill="accent3" w:themeFillTint="32"/>
            <w:vAlign w:val="center"/>
          </w:tcPr>
          <w:p w14:paraId="4F2AE3A6">
            <w:pPr>
              <w:spacing w:line="0" w:lineRule="atLeast"/>
            </w:pPr>
            <w:r>
              <w:t>K2 产教融合卓越人才培养模式改革及其实践效果</w:t>
            </w:r>
          </w:p>
          <w:p w14:paraId="7CA430DF">
            <w:pPr>
              <w:spacing w:line="0" w:lineRule="atLeast"/>
            </w:pPr>
            <w:r>
              <w:rPr>
                <w:rFonts w:hint="eastAsia"/>
              </w:rPr>
              <w:t>【可选】产学合作协同育人项目数</w:t>
            </w:r>
          </w:p>
        </w:tc>
      </w:tr>
      <w:tr w14:paraId="03E1A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390" w:type="pct"/>
            <w:vMerge w:val="continue"/>
            <w:shd w:val="clear" w:color="auto" w:fill="auto"/>
            <w:vAlign w:val="center"/>
          </w:tcPr>
          <w:p w14:paraId="13DB86DF">
            <w:pPr>
              <w:spacing w:line="0" w:lineRule="atLeast"/>
              <w:jc w:val="center"/>
              <w:rPr>
                <w:rFonts w:hint="eastAsia"/>
                <w:lang w:val="en-US" w:eastAsia="zh-CN"/>
              </w:rPr>
            </w:pPr>
          </w:p>
        </w:tc>
        <w:tc>
          <w:tcPr>
            <w:tcW w:w="356" w:type="pct"/>
            <w:vMerge w:val="continue"/>
            <w:shd w:val="clear" w:color="auto" w:fill="auto"/>
            <w:vAlign w:val="center"/>
          </w:tcPr>
          <w:p w14:paraId="699D68AE">
            <w:pPr>
              <w:spacing w:line="0" w:lineRule="atLeast"/>
              <w:rPr>
                <w:rFonts w:hint="eastAsia"/>
              </w:rPr>
            </w:pPr>
          </w:p>
        </w:tc>
        <w:tc>
          <w:tcPr>
            <w:tcW w:w="4252" w:type="pct"/>
            <w:gridSpan w:val="2"/>
            <w:shd w:val="clear" w:color="auto" w:fill="auto"/>
            <w:vAlign w:val="top"/>
          </w:tcPr>
          <w:p w14:paraId="223AA9E5">
            <w:pPr>
              <w:spacing w:line="0" w:lineRule="atLeast"/>
              <w:jc w:val="both"/>
              <w:rPr>
                <w:rFonts w:hint="eastAsia"/>
                <w:lang w:val="en-US" w:eastAsia="zh-CN"/>
              </w:rPr>
            </w:pPr>
            <w:r>
              <w:rPr>
                <w:rFonts w:hint="eastAsia"/>
                <w:lang w:val="en-US" w:eastAsia="zh-CN"/>
              </w:rPr>
              <w:t>该项指标是否建议选择（）</w:t>
            </w:r>
          </w:p>
          <w:p w14:paraId="6FCAA75D">
            <w:pPr>
              <w:spacing w:line="0" w:lineRule="atLeast"/>
              <w:jc w:val="both"/>
              <w:rPr>
                <w:rFonts w:hint="default"/>
                <w:lang w:val="en-US" w:eastAsia="zh-CN"/>
              </w:rPr>
            </w:pPr>
            <w:r>
              <w:rPr>
                <w:rFonts w:hint="eastAsia"/>
                <w:lang w:val="en-US" w:eastAsia="zh-CN"/>
              </w:rPr>
              <w:t>论证理由：</w:t>
            </w:r>
          </w:p>
          <w:p w14:paraId="1EE854B6">
            <w:pPr>
              <w:spacing w:line="0" w:lineRule="atLeast"/>
              <w:jc w:val="both"/>
              <w:rPr>
                <w:rFonts w:hint="default"/>
                <w:lang w:val="en-US" w:eastAsia="zh-CN"/>
              </w:rPr>
            </w:pPr>
          </w:p>
        </w:tc>
      </w:tr>
      <w:tr w14:paraId="69130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390" w:type="pct"/>
            <w:vMerge w:val="continue"/>
            <w:shd w:val="clear" w:color="auto" w:fill="auto"/>
          </w:tcPr>
          <w:p w14:paraId="0B05B74D">
            <w:pPr>
              <w:spacing w:line="0" w:lineRule="atLeast"/>
            </w:pPr>
          </w:p>
        </w:tc>
        <w:tc>
          <w:tcPr>
            <w:tcW w:w="356" w:type="pct"/>
            <w:vMerge w:val="continue"/>
            <w:shd w:val="clear" w:color="auto" w:fill="auto"/>
            <w:vAlign w:val="center"/>
          </w:tcPr>
          <w:p w14:paraId="3DA5579B">
            <w:pPr>
              <w:spacing w:line="0" w:lineRule="atLeast"/>
            </w:pPr>
          </w:p>
        </w:tc>
        <w:tc>
          <w:tcPr>
            <w:tcW w:w="547" w:type="pct"/>
            <w:shd w:val="clear" w:color="auto" w:fill="FEF2CB" w:themeFill="accent3" w:themeFillTint="32"/>
            <w:vAlign w:val="center"/>
          </w:tcPr>
          <w:p w14:paraId="15FFD941">
            <w:pPr>
              <w:spacing w:line="0" w:lineRule="atLeast"/>
              <w:rPr>
                <w:rFonts w:hint="default" w:eastAsiaTheme="minorEastAsia"/>
                <w:lang w:val="en-US" w:eastAsia="zh-CN"/>
              </w:rPr>
            </w:pPr>
            <w:r>
              <w:rPr>
                <w:rFonts w:hint="eastAsia"/>
                <w:lang w:val="en-US" w:eastAsia="zh-CN"/>
              </w:rPr>
              <w:t>K 2.5.1</w:t>
            </w:r>
          </w:p>
        </w:tc>
        <w:tc>
          <w:tcPr>
            <w:tcW w:w="3705" w:type="pct"/>
            <w:shd w:val="clear" w:color="auto" w:fill="FEF2CB" w:themeFill="accent3" w:themeFillTint="32"/>
            <w:vAlign w:val="center"/>
          </w:tcPr>
          <w:p w14:paraId="29B04199">
            <w:pPr>
              <w:widowControl/>
              <w:spacing w:line="0" w:lineRule="atLeast"/>
              <w:rPr>
                <w:rFonts w:ascii="Times New Roman" w:hAnsi="Times New Roman" w:cs="宋体"/>
                <w:color w:val="auto"/>
                <w:kern w:val="0"/>
                <w:szCs w:val="21"/>
              </w:rPr>
            </w:pPr>
            <w:r>
              <w:rPr>
                <w:rFonts w:hint="eastAsia" w:ascii="Times New Roman" w:hAnsi="Times New Roman" w:cs="宋体"/>
                <w:color w:val="auto"/>
                <w:kern w:val="0"/>
                <w:szCs w:val="21"/>
              </w:rPr>
              <w:t>K 现代产业学院建设及实践效果</w:t>
            </w:r>
          </w:p>
          <w:p w14:paraId="4D9CFAC0">
            <w:pPr>
              <w:spacing w:line="0" w:lineRule="atLeast"/>
            </w:pPr>
            <w:r>
              <w:rPr>
                <w:rFonts w:hint="eastAsia" w:ascii="Times New Roman" w:hAnsi="Times New Roman" w:cs="宋体"/>
                <w:color w:val="auto"/>
                <w:kern w:val="0"/>
                <w:szCs w:val="21"/>
              </w:rPr>
              <w:t>【可选】现代产业学院覆盖的专业数及其培养的学生数</w:t>
            </w:r>
          </w:p>
        </w:tc>
      </w:tr>
      <w:tr w14:paraId="74DFC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9" w:hRule="atLeast"/>
          <w:jc w:val="center"/>
        </w:trPr>
        <w:tc>
          <w:tcPr>
            <w:tcW w:w="390" w:type="pct"/>
            <w:vMerge w:val="continue"/>
            <w:shd w:val="clear" w:color="auto" w:fill="auto"/>
          </w:tcPr>
          <w:p w14:paraId="7DEDA680">
            <w:pPr>
              <w:spacing w:line="0" w:lineRule="atLeast"/>
            </w:pPr>
          </w:p>
        </w:tc>
        <w:tc>
          <w:tcPr>
            <w:tcW w:w="356" w:type="pct"/>
            <w:vMerge w:val="continue"/>
            <w:shd w:val="clear" w:color="auto" w:fill="auto"/>
            <w:vAlign w:val="center"/>
          </w:tcPr>
          <w:p w14:paraId="3691672B">
            <w:pPr>
              <w:spacing w:line="0" w:lineRule="atLeast"/>
            </w:pPr>
          </w:p>
        </w:tc>
        <w:tc>
          <w:tcPr>
            <w:tcW w:w="4252" w:type="pct"/>
            <w:gridSpan w:val="2"/>
            <w:shd w:val="clear" w:color="auto" w:fill="auto"/>
            <w:vAlign w:val="top"/>
          </w:tcPr>
          <w:p w14:paraId="1227AA8A">
            <w:pPr>
              <w:spacing w:line="0" w:lineRule="atLeast"/>
              <w:jc w:val="both"/>
              <w:rPr>
                <w:rFonts w:hint="eastAsia"/>
                <w:lang w:val="en-US" w:eastAsia="zh-CN"/>
              </w:rPr>
            </w:pPr>
            <w:r>
              <w:rPr>
                <w:rFonts w:hint="eastAsia"/>
                <w:lang w:val="en-US" w:eastAsia="zh-CN"/>
              </w:rPr>
              <w:t>该项指标是否建议选择（）</w:t>
            </w:r>
          </w:p>
          <w:p w14:paraId="7E9D707F">
            <w:pPr>
              <w:spacing w:line="0" w:lineRule="atLeast"/>
              <w:jc w:val="both"/>
              <w:rPr>
                <w:rFonts w:hint="default"/>
                <w:lang w:val="en-US" w:eastAsia="zh-CN"/>
              </w:rPr>
            </w:pPr>
            <w:r>
              <w:rPr>
                <w:rFonts w:hint="eastAsia"/>
                <w:lang w:val="en-US" w:eastAsia="zh-CN"/>
              </w:rPr>
              <w:t>论证理由：</w:t>
            </w:r>
          </w:p>
          <w:p w14:paraId="2CAE0619">
            <w:pPr>
              <w:spacing w:line="0" w:lineRule="atLeast"/>
              <w:jc w:val="both"/>
              <w:rPr>
                <w:rFonts w:hint="eastAsia" w:ascii="Times New Roman" w:hAnsi="Times New Roman" w:cs="宋体"/>
                <w:color w:val="0000FF"/>
                <w:kern w:val="0"/>
                <w:szCs w:val="21"/>
              </w:rPr>
            </w:pPr>
          </w:p>
        </w:tc>
      </w:tr>
      <w:tr w14:paraId="30D0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0" w:type="pct"/>
            <w:vMerge w:val="continue"/>
            <w:shd w:val="clear" w:color="auto" w:fill="auto"/>
          </w:tcPr>
          <w:p w14:paraId="77A9D3B2">
            <w:pPr>
              <w:spacing w:line="0" w:lineRule="atLeast"/>
            </w:pPr>
          </w:p>
        </w:tc>
        <w:tc>
          <w:tcPr>
            <w:tcW w:w="356" w:type="pct"/>
            <w:vMerge w:val="continue"/>
            <w:shd w:val="clear" w:color="auto" w:fill="auto"/>
            <w:vAlign w:val="center"/>
          </w:tcPr>
          <w:p w14:paraId="55BE2F38">
            <w:pPr>
              <w:spacing w:line="0" w:lineRule="atLeast"/>
            </w:pPr>
          </w:p>
        </w:tc>
        <w:tc>
          <w:tcPr>
            <w:tcW w:w="4252" w:type="pct"/>
            <w:gridSpan w:val="2"/>
            <w:shd w:val="clear" w:color="auto" w:fill="FEF2CB" w:themeFill="accent3" w:themeFillTint="32"/>
            <w:vAlign w:val="center"/>
          </w:tcPr>
          <w:p w14:paraId="374185CF">
            <w:pPr>
              <w:shd w:val="clear" w:fill="FEF2CB" w:themeFill="accent3" w:themeFillTint="32"/>
              <w:spacing w:line="0" w:lineRule="atLeast"/>
            </w:pPr>
            <w:r>
              <w:t xml:space="preserve">K 2.5.2 </w:t>
            </w:r>
            <w:r>
              <w:rPr>
                <w:rFonts w:hint="eastAsia"/>
              </w:rPr>
              <w:t>加强课程体系整体设计，优化公共课、专业基础课和专业课比例结构，提高课程建设规划性、系统性情况</w:t>
            </w:r>
          </w:p>
          <w:p w14:paraId="2C31D2C5">
            <w:pPr>
              <w:shd w:val="clear" w:fill="FEF2CB" w:themeFill="accent3" w:themeFillTint="32"/>
              <w:spacing w:line="0" w:lineRule="atLeast"/>
            </w:pPr>
            <w:r>
              <w:rPr>
                <w:rFonts w:hint="eastAsia"/>
              </w:rPr>
              <w:t>【可选】与行业企业共建、共同讲授的课程数</w:t>
            </w:r>
          </w:p>
        </w:tc>
      </w:tr>
      <w:tr w14:paraId="21DE1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jc w:val="center"/>
        </w:trPr>
        <w:tc>
          <w:tcPr>
            <w:tcW w:w="390" w:type="pct"/>
            <w:vMerge w:val="continue"/>
            <w:shd w:val="clear" w:color="auto" w:fill="auto"/>
          </w:tcPr>
          <w:p w14:paraId="22631534">
            <w:pPr>
              <w:spacing w:line="0" w:lineRule="atLeast"/>
            </w:pPr>
          </w:p>
        </w:tc>
        <w:tc>
          <w:tcPr>
            <w:tcW w:w="356" w:type="pct"/>
            <w:vMerge w:val="continue"/>
            <w:shd w:val="clear" w:color="auto" w:fill="auto"/>
            <w:vAlign w:val="center"/>
          </w:tcPr>
          <w:p w14:paraId="563233CB">
            <w:pPr>
              <w:spacing w:line="0" w:lineRule="atLeast"/>
            </w:pPr>
          </w:p>
        </w:tc>
        <w:tc>
          <w:tcPr>
            <w:tcW w:w="4252" w:type="pct"/>
            <w:gridSpan w:val="2"/>
            <w:shd w:val="clear" w:color="auto" w:fill="auto"/>
            <w:vAlign w:val="top"/>
          </w:tcPr>
          <w:p w14:paraId="3CFFF7DD">
            <w:pPr>
              <w:spacing w:line="0" w:lineRule="atLeast"/>
              <w:jc w:val="both"/>
              <w:rPr>
                <w:rFonts w:hint="eastAsia"/>
                <w:lang w:val="en-US" w:eastAsia="zh-CN"/>
              </w:rPr>
            </w:pPr>
            <w:r>
              <w:rPr>
                <w:rFonts w:hint="eastAsia"/>
                <w:lang w:val="en-US" w:eastAsia="zh-CN"/>
              </w:rPr>
              <w:t>该项指标是否建议选择（）</w:t>
            </w:r>
          </w:p>
          <w:p w14:paraId="7A71EF93">
            <w:pPr>
              <w:spacing w:line="0" w:lineRule="atLeast"/>
              <w:jc w:val="both"/>
              <w:rPr>
                <w:rFonts w:hint="default"/>
                <w:lang w:val="en-US" w:eastAsia="zh-CN"/>
              </w:rPr>
            </w:pPr>
            <w:r>
              <w:rPr>
                <w:rFonts w:hint="eastAsia"/>
                <w:lang w:val="en-US" w:eastAsia="zh-CN"/>
              </w:rPr>
              <w:t>论证理由：</w:t>
            </w:r>
          </w:p>
          <w:p w14:paraId="0D6A6F1D">
            <w:pPr>
              <w:spacing w:line="0" w:lineRule="atLeast"/>
              <w:jc w:val="both"/>
              <w:rPr>
                <w:rFonts w:hint="eastAsia"/>
              </w:rPr>
            </w:pPr>
          </w:p>
        </w:tc>
      </w:tr>
      <w:tr w14:paraId="0D785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390" w:type="pct"/>
            <w:vMerge w:val="continue"/>
            <w:shd w:val="clear" w:color="auto" w:fill="auto"/>
            <w:vAlign w:val="center"/>
          </w:tcPr>
          <w:p w14:paraId="60DF4CF9">
            <w:pPr>
              <w:spacing w:line="0" w:lineRule="atLeast"/>
            </w:pPr>
          </w:p>
        </w:tc>
        <w:tc>
          <w:tcPr>
            <w:tcW w:w="356" w:type="pct"/>
            <w:vMerge w:val="continue"/>
            <w:shd w:val="clear" w:color="auto" w:fill="auto"/>
            <w:vAlign w:val="center"/>
          </w:tcPr>
          <w:p w14:paraId="78579E72">
            <w:pPr>
              <w:spacing w:line="0" w:lineRule="atLeast"/>
            </w:pPr>
          </w:p>
        </w:tc>
        <w:tc>
          <w:tcPr>
            <w:tcW w:w="4252" w:type="pct"/>
            <w:gridSpan w:val="2"/>
            <w:shd w:val="clear" w:color="auto" w:fill="FEF2CB" w:themeFill="accent3" w:themeFillTint="32"/>
            <w:vAlign w:val="center"/>
          </w:tcPr>
          <w:p w14:paraId="0BCDBDF2">
            <w:pPr>
              <w:spacing w:line="0" w:lineRule="atLeast"/>
            </w:pPr>
            <w:r>
              <w:t>K 2</w:t>
            </w:r>
            <w:r>
              <w:rPr>
                <w:rFonts w:hint="eastAsia"/>
              </w:rPr>
              <w:t>.5.</w:t>
            </w:r>
            <w:r>
              <w:t xml:space="preserve">3 </w:t>
            </w:r>
            <w:r>
              <w:rPr>
                <w:rFonts w:hint="eastAsia"/>
              </w:rPr>
              <w:t>新工科</w:t>
            </w:r>
            <w:r>
              <w:t>、新农科、新医科、新文科建设</w:t>
            </w:r>
            <w:r>
              <w:rPr>
                <w:rFonts w:hint="eastAsia"/>
              </w:rPr>
              <w:t>以及围绕“培育高水平</w:t>
            </w:r>
            <w:r>
              <w:t>教学</w:t>
            </w:r>
            <w:r>
              <w:rPr>
                <w:rFonts w:hint="eastAsia"/>
              </w:rPr>
              <w:t>成果”开展教研教改项目建设的举措及实施成效</w:t>
            </w:r>
          </w:p>
        </w:tc>
      </w:tr>
      <w:tr w14:paraId="431B3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3" w:hRule="atLeast"/>
          <w:jc w:val="center"/>
        </w:trPr>
        <w:tc>
          <w:tcPr>
            <w:tcW w:w="390" w:type="pct"/>
            <w:vMerge w:val="continue"/>
            <w:shd w:val="clear" w:color="auto" w:fill="auto"/>
            <w:vAlign w:val="center"/>
          </w:tcPr>
          <w:p w14:paraId="59954BBA">
            <w:pPr>
              <w:spacing w:line="0" w:lineRule="atLeast"/>
            </w:pPr>
          </w:p>
        </w:tc>
        <w:tc>
          <w:tcPr>
            <w:tcW w:w="356" w:type="pct"/>
            <w:vMerge w:val="continue"/>
            <w:shd w:val="clear" w:color="auto" w:fill="auto"/>
            <w:vAlign w:val="center"/>
          </w:tcPr>
          <w:p w14:paraId="1072D47B">
            <w:pPr>
              <w:spacing w:line="0" w:lineRule="atLeast"/>
            </w:pPr>
          </w:p>
        </w:tc>
        <w:tc>
          <w:tcPr>
            <w:tcW w:w="4252" w:type="pct"/>
            <w:gridSpan w:val="2"/>
            <w:shd w:val="clear" w:color="auto" w:fill="auto"/>
            <w:vAlign w:val="top"/>
          </w:tcPr>
          <w:p w14:paraId="77AABA7B">
            <w:pPr>
              <w:spacing w:line="0" w:lineRule="atLeast"/>
              <w:jc w:val="both"/>
              <w:rPr>
                <w:rFonts w:hint="eastAsia"/>
                <w:lang w:val="en-US" w:eastAsia="zh-CN"/>
              </w:rPr>
            </w:pPr>
            <w:r>
              <w:rPr>
                <w:rFonts w:hint="eastAsia"/>
                <w:lang w:val="en-US" w:eastAsia="zh-CN"/>
              </w:rPr>
              <w:t>该项指标是否建议选择（）</w:t>
            </w:r>
          </w:p>
          <w:p w14:paraId="391C9CC7">
            <w:pPr>
              <w:spacing w:line="0" w:lineRule="atLeast"/>
              <w:jc w:val="both"/>
              <w:rPr>
                <w:rFonts w:hint="default"/>
                <w:lang w:val="en-US" w:eastAsia="zh-CN"/>
              </w:rPr>
            </w:pPr>
            <w:r>
              <w:rPr>
                <w:rFonts w:hint="eastAsia"/>
                <w:lang w:val="en-US" w:eastAsia="zh-CN"/>
              </w:rPr>
              <w:t>论证理由：</w:t>
            </w:r>
          </w:p>
          <w:p w14:paraId="06FFC836">
            <w:pPr>
              <w:spacing w:line="0" w:lineRule="atLeast"/>
              <w:jc w:val="both"/>
            </w:pPr>
          </w:p>
        </w:tc>
      </w:tr>
      <w:tr w14:paraId="03BA5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390" w:type="pct"/>
            <w:vMerge w:val="continue"/>
            <w:shd w:val="clear" w:color="auto" w:fill="auto"/>
          </w:tcPr>
          <w:p w14:paraId="5D666AA3">
            <w:pPr>
              <w:spacing w:line="0" w:lineRule="atLeast"/>
            </w:pPr>
          </w:p>
        </w:tc>
        <w:tc>
          <w:tcPr>
            <w:tcW w:w="356" w:type="pct"/>
            <w:vMerge w:val="continue"/>
            <w:shd w:val="clear" w:color="auto" w:fill="auto"/>
            <w:vAlign w:val="center"/>
          </w:tcPr>
          <w:p w14:paraId="43E66550">
            <w:pPr>
              <w:spacing w:line="0" w:lineRule="atLeast"/>
            </w:pPr>
          </w:p>
        </w:tc>
        <w:tc>
          <w:tcPr>
            <w:tcW w:w="4252" w:type="pct"/>
            <w:gridSpan w:val="2"/>
            <w:shd w:val="clear" w:color="auto" w:fill="FEF2CB" w:themeFill="accent3" w:themeFillTint="32"/>
            <w:vAlign w:val="center"/>
          </w:tcPr>
          <w:p w14:paraId="57E0DB5D">
            <w:pPr>
              <w:spacing w:line="0" w:lineRule="atLeast"/>
            </w:pPr>
            <w:r>
              <w:t>K 2</w:t>
            </w:r>
            <w:r>
              <w:rPr>
                <w:rFonts w:hint="eastAsia"/>
              </w:rPr>
              <w:t>.5.</w:t>
            </w:r>
            <w:r>
              <w:t xml:space="preserve">4 </w:t>
            </w:r>
            <w:r>
              <w:rPr>
                <w:rFonts w:hint="eastAsia"/>
              </w:rPr>
              <w:t>一流专业“双万计划”建设举措及成效</w:t>
            </w:r>
          </w:p>
        </w:tc>
      </w:tr>
      <w:tr w14:paraId="33ED3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390" w:type="pct"/>
            <w:vMerge w:val="continue"/>
            <w:shd w:val="clear" w:color="auto" w:fill="auto"/>
          </w:tcPr>
          <w:p w14:paraId="371FA06C">
            <w:pPr>
              <w:spacing w:line="0" w:lineRule="atLeast"/>
            </w:pPr>
          </w:p>
        </w:tc>
        <w:tc>
          <w:tcPr>
            <w:tcW w:w="356" w:type="pct"/>
            <w:vMerge w:val="continue"/>
            <w:shd w:val="clear" w:color="auto" w:fill="auto"/>
            <w:vAlign w:val="center"/>
          </w:tcPr>
          <w:p w14:paraId="4558321F">
            <w:pPr>
              <w:spacing w:line="0" w:lineRule="atLeast"/>
            </w:pPr>
          </w:p>
        </w:tc>
        <w:tc>
          <w:tcPr>
            <w:tcW w:w="4252" w:type="pct"/>
            <w:gridSpan w:val="2"/>
            <w:shd w:val="clear" w:color="auto" w:fill="auto"/>
            <w:vAlign w:val="top"/>
          </w:tcPr>
          <w:p w14:paraId="357E3DF4">
            <w:pPr>
              <w:spacing w:line="0" w:lineRule="atLeast"/>
              <w:jc w:val="both"/>
              <w:rPr>
                <w:rFonts w:hint="eastAsia"/>
                <w:lang w:val="en-US" w:eastAsia="zh-CN"/>
              </w:rPr>
            </w:pPr>
            <w:r>
              <w:rPr>
                <w:rFonts w:hint="eastAsia"/>
                <w:lang w:val="en-US" w:eastAsia="zh-CN"/>
              </w:rPr>
              <w:t>该项指标是否建议选择（）</w:t>
            </w:r>
          </w:p>
          <w:p w14:paraId="02E81E22">
            <w:pPr>
              <w:spacing w:line="0" w:lineRule="atLeast"/>
              <w:jc w:val="both"/>
              <w:rPr>
                <w:rFonts w:hint="default"/>
                <w:lang w:val="en-US" w:eastAsia="zh-CN"/>
              </w:rPr>
            </w:pPr>
            <w:r>
              <w:rPr>
                <w:rFonts w:hint="eastAsia"/>
                <w:lang w:val="en-US" w:eastAsia="zh-CN"/>
              </w:rPr>
              <w:t>论证理由：</w:t>
            </w:r>
          </w:p>
          <w:p w14:paraId="6C67D881">
            <w:pPr>
              <w:spacing w:line="0" w:lineRule="atLeast"/>
              <w:jc w:val="both"/>
            </w:pPr>
          </w:p>
        </w:tc>
      </w:tr>
      <w:tr w14:paraId="03EBB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90" w:type="pct"/>
            <w:vMerge w:val="continue"/>
            <w:shd w:val="clear" w:color="auto" w:fill="auto"/>
          </w:tcPr>
          <w:p w14:paraId="28C15DBC">
            <w:pPr>
              <w:spacing w:line="0" w:lineRule="atLeast"/>
            </w:pPr>
          </w:p>
        </w:tc>
        <w:tc>
          <w:tcPr>
            <w:tcW w:w="356" w:type="pct"/>
            <w:vMerge w:val="continue"/>
            <w:shd w:val="clear" w:color="auto" w:fill="auto"/>
            <w:vAlign w:val="center"/>
          </w:tcPr>
          <w:p w14:paraId="40F9A709">
            <w:pPr>
              <w:spacing w:line="0" w:lineRule="atLeast"/>
            </w:pPr>
          </w:p>
        </w:tc>
        <w:tc>
          <w:tcPr>
            <w:tcW w:w="4252" w:type="pct"/>
            <w:gridSpan w:val="2"/>
            <w:shd w:val="clear" w:color="auto" w:fill="FEF2CB" w:themeFill="accent3" w:themeFillTint="32"/>
            <w:vAlign w:val="center"/>
          </w:tcPr>
          <w:p w14:paraId="127F2B92">
            <w:pPr>
              <w:spacing w:line="0" w:lineRule="atLeast"/>
            </w:pPr>
            <w:r>
              <w:t xml:space="preserve">K </w:t>
            </w:r>
            <w:r>
              <w:rPr>
                <w:rFonts w:hint="eastAsia"/>
              </w:rPr>
              <w:t>2.5.</w:t>
            </w:r>
            <w:r>
              <w:t xml:space="preserve">5 </w:t>
            </w:r>
            <w:r>
              <w:rPr>
                <w:rFonts w:hint="eastAsia"/>
              </w:rPr>
              <w:t>一流课程“双万计划”建设举措及成效</w:t>
            </w:r>
          </w:p>
        </w:tc>
      </w:tr>
      <w:tr w14:paraId="602F2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390" w:type="pct"/>
            <w:vMerge w:val="continue"/>
            <w:shd w:val="clear" w:color="auto" w:fill="auto"/>
          </w:tcPr>
          <w:p w14:paraId="73658EC4">
            <w:pPr>
              <w:spacing w:line="0" w:lineRule="atLeast"/>
            </w:pPr>
          </w:p>
        </w:tc>
        <w:tc>
          <w:tcPr>
            <w:tcW w:w="356" w:type="pct"/>
            <w:vMerge w:val="continue"/>
            <w:shd w:val="clear" w:color="auto" w:fill="auto"/>
            <w:vAlign w:val="center"/>
          </w:tcPr>
          <w:p w14:paraId="19A02374">
            <w:pPr>
              <w:spacing w:line="0" w:lineRule="atLeast"/>
            </w:pPr>
          </w:p>
        </w:tc>
        <w:tc>
          <w:tcPr>
            <w:tcW w:w="4252" w:type="pct"/>
            <w:gridSpan w:val="2"/>
            <w:shd w:val="clear" w:color="auto" w:fill="auto"/>
            <w:vAlign w:val="top"/>
          </w:tcPr>
          <w:p w14:paraId="4ACEAFB7">
            <w:pPr>
              <w:spacing w:line="0" w:lineRule="atLeast"/>
              <w:jc w:val="both"/>
              <w:rPr>
                <w:rFonts w:hint="eastAsia"/>
                <w:lang w:val="en-US" w:eastAsia="zh-CN"/>
              </w:rPr>
            </w:pPr>
            <w:r>
              <w:rPr>
                <w:rFonts w:hint="eastAsia"/>
                <w:lang w:val="en-US" w:eastAsia="zh-CN"/>
              </w:rPr>
              <w:t>该项指标是否建议选择（）</w:t>
            </w:r>
          </w:p>
          <w:p w14:paraId="0CF5BAED">
            <w:pPr>
              <w:spacing w:line="0" w:lineRule="atLeast"/>
              <w:jc w:val="both"/>
              <w:rPr>
                <w:rFonts w:hint="default"/>
                <w:lang w:val="en-US" w:eastAsia="zh-CN"/>
              </w:rPr>
            </w:pPr>
            <w:r>
              <w:rPr>
                <w:rFonts w:hint="eastAsia"/>
                <w:lang w:val="en-US" w:eastAsia="zh-CN"/>
              </w:rPr>
              <w:t>论证理由：</w:t>
            </w:r>
          </w:p>
          <w:p w14:paraId="552F1166">
            <w:pPr>
              <w:spacing w:line="0" w:lineRule="atLeast"/>
              <w:jc w:val="both"/>
            </w:pPr>
          </w:p>
        </w:tc>
      </w:tr>
      <w:tr w14:paraId="2E0A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390" w:type="pct"/>
            <w:vMerge w:val="continue"/>
            <w:shd w:val="clear" w:color="auto" w:fill="auto"/>
          </w:tcPr>
          <w:p w14:paraId="3F535622">
            <w:pPr>
              <w:spacing w:line="0" w:lineRule="atLeast"/>
            </w:pPr>
          </w:p>
        </w:tc>
        <w:tc>
          <w:tcPr>
            <w:tcW w:w="356" w:type="pct"/>
            <w:vMerge w:val="continue"/>
            <w:shd w:val="clear" w:color="auto" w:fill="auto"/>
            <w:vAlign w:val="center"/>
          </w:tcPr>
          <w:p w14:paraId="437DC771">
            <w:pPr>
              <w:spacing w:line="0" w:lineRule="atLeast"/>
            </w:pPr>
          </w:p>
        </w:tc>
        <w:tc>
          <w:tcPr>
            <w:tcW w:w="4252" w:type="pct"/>
            <w:gridSpan w:val="2"/>
            <w:shd w:val="clear" w:color="auto" w:fill="FEF2CB" w:themeFill="accent3" w:themeFillTint="32"/>
            <w:vAlign w:val="center"/>
          </w:tcPr>
          <w:p w14:paraId="567B26F2">
            <w:pPr>
              <w:spacing w:line="0" w:lineRule="atLeast"/>
            </w:pPr>
            <w:r>
              <w:t xml:space="preserve">K </w:t>
            </w:r>
            <w:r>
              <w:rPr>
                <w:rFonts w:hint="eastAsia"/>
              </w:rPr>
              <w:t>2.5.</w:t>
            </w:r>
            <w:r>
              <w:t xml:space="preserve">6 </w:t>
            </w:r>
            <w:r>
              <w:rPr>
                <w:rFonts w:hint="eastAsia"/>
              </w:rPr>
              <w:t>优秀教材建设举措及成效</w:t>
            </w:r>
          </w:p>
        </w:tc>
      </w:tr>
      <w:tr w14:paraId="6FCF7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atLeast"/>
          <w:jc w:val="center"/>
        </w:trPr>
        <w:tc>
          <w:tcPr>
            <w:tcW w:w="390" w:type="pct"/>
            <w:vMerge w:val="continue"/>
            <w:shd w:val="clear" w:color="auto" w:fill="auto"/>
          </w:tcPr>
          <w:p w14:paraId="10240A07">
            <w:pPr>
              <w:spacing w:line="0" w:lineRule="atLeast"/>
            </w:pPr>
          </w:p>
        </w:tc>
        <w:tc>
          <w:tcPr>
            <w:tcW w:w="356" w:type="pct"/>
            <w:vMerge w:val="continue"/>
            <w:shd w:val="clear" w:color="auto" w:fill="auto"/>
            <w:vAlign w:val="center"/>
          </w:tcPr>
          <w:p w14:paraId="4086DA18">
            <w:pPr>
              <w:spacing w:line="0" w:lineRule="atLeast"/>
            </w:pPr>
          </w:p>
        </w:tc>
        <w:tc>
          <w:tcPr>
            <w:tcW w:w="4252" w:type="pct"/>
            <w:gridSpan w:val="2"/>
            <w:shd w:val="clear" w:color="auto" w:fill="auto"/>
            <w:vAlign w:val="top"/>
          </w:tcPr>
          <w:p w14:paraId="2011545A">
            <w:pPr>
              <w:spacing w:line="0" w:lineRule="atLeast"/>
              <w:jc w:val="both"/>
              <w:rPr>
                <w:rFonts w:hint="eastAsia"/>
                <w:lang w:val="en-US" w:eastAsia="zh-CN"/>
              </w:rPr>
            </w:pPr>
            <w:r>
              <w:rPr>
                <w:rFonts w:hint="eastAsia"/>
                <w:lang w:val="en-US" w:eastAsia="zh-CN"/>
              </w:rPr>
              <w:t>该项指标是否建议选择（）</w:t>
            </w:r>
          </w:p>
          <w:p w14:paraId="3E7BD9C1">
            <w:pPr>
              <w:spacing w:line="0" w:lineRule="atLeast"/>
              <w:jc w:val="both"/>
              <w:rPr>
                <w:rFonts w:hint="default"/>
                <w:lang w:val="en-US" w:eastAsia="zh-CN"/>
              </w:rPr>
            </w:pPr>
            <w:r>
              <w:rPr>
                <w:rFonts w:hint="eastAsia"/>
                <w:lang w:val="en-US" w:eastAsia="zh-CN"/>
              </w:rPr>
              <w:t>论证理由：</w:t>
            </w:r>
          </w:p>
          <w:p w14:paraId="5EC31FAC">
            <w:pPr>
              <w:spacing w:line="0" w:lineRule="atLeast"/>
              <w:jc w:val="both"/>
            </w:pPr>
          </w:p>
        </w:tc>
      </w:tr>
      <w:tr w14:paraId="75C5E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390" w:type="pct"/>
            <w:vMerge w:val="restart"/>
            <w:shd w:val="clear" w:color="auto" w:fill="auto"/>
            <w:vAlign w:val="center"/>
          </w:tcPr>
          <w:p w14:paraId="784222C0">
            <w:pPr>
              <w:spacing w:line="0" w:lineRule="atLeast"/>
              <w:jc w:val="center"/>
            </w:pPr>
            <w:r>
              <w:rPr>
                <w:rFonts w:hint="eastAsia"/>
              </w:rPr>
              <w:t>3</w:t>
            </w:r>
            <w:r>
              <w:t>.</w:t>
            </w:r>
          </w:p>
          <w:p w14:paraId="38BA84E0">
            <w:pPr>
              <w:spacing w:line="0" w:lineRule="atLeast"/>
              <w:jc w:val="center"/>
            </w:pPr>
            <w:r>
              <w:rPr>
                <w:rFonts w:hint="eastAsia"/>
              </w:rPr>
              <w:t>教学</w:t>
            </w:r>
            <w:r>
              <w:t>资源</w:t>
            </w:r>
            <w:r>
              <w:rPr>
                <w:rFonts w:hint="eastAsia"/>
              </w:rPr>
              <w:t>与利用</w:t>
            </w:r>
          </w:p>
        </w:tc>
        <w:tc>
          <w:tcPr>
            <w:tcW w:w="356" w:type="pct"/>
            <w:vMerge w:val="restart"/>
            <w:shd w:val="clear" w:color="auto" w:fill="auto"/>
            <w:vAlign w:val="center"/>
          </w:tcPr>
          <w:p w14:paraId="279ACF96">
            <w:pPr>
              <w:spacing w:line="0" w:lineRule="atLeast"/>
              <w:jc w:val="center"/>
            </w:pPr>
            <w:r>
              <w:t>3.</w:t>
            </w:r>
            <w:r>
              <w:rPr>
                <w:rFonts w:hint="eastAsia"/>
                <w:lang w:val="en-US" w:eastAsia="zh-CN"/>
              </w:rPr>
              <w:t>2</w:t>
            </w:r>
            <w:r>
              <w:t>资源建设</w:t>
            </w:r>
          </w:p>
        </w:tc>
        <w:tc>
          <w:tcPr>
            <w:tcW w:w="547" w:type="pct"/>
            <w:shd w:val="clear" w:color="auto" w:fill="FEF2CB" w:themeFill="accent3" w:themeFillTint="32"/>
            <w:vAlign w:val="center"/>
          </w:tcPr>
          <w:p w14:paraId="6B5AA7AE">
            <w:pPr>
              <w:spacing w:line="0" w:lineRule="atLeast"/>
            </w:pPr>
            <w:r>
              <w:rPr>
                <w:rFonts w:hint="eastAsia"/>
              </w:rPr>
              <w:t>K 3</w:t>
            </w:r>
            <w:r>
              <w:t>.2.</w:t>
            </w:r>
            <w:r>
              <w:rPr>
                <w:rFonts w:hint="eastAsia"/>
              </w:rPr>
              <w:t>3</w:t>
            </w:r>
          </w:p>
        </w:tc>
        <w:tc>
          <w:tcPr>
            <w:tcW w:w="3705" w:type="pct"/>
            <w:shd w:val="clear" w:color="auto" w:fill="FEF2CB" w:themeFill="accent3" w:themeFillTint="32"/>
            <w:vAlign w:val="center"/>
          </w:tcPr>
          <w:p w14:paraId="48782183">
            <w:pPr>
              <w:spacing w:line="0" w:lineRule="atLeast"/>
              <w:jc w:val="both"/>
            </w:pPr>
            <w:r>
              <w:rPr>
                <w:rFonts w:hint="eastAsia"/>
              </w:rPr>
              <w:t>适应“互联网+”课程教学需要的智慧教室、</w:t>
            </w:r>
            <w:r>
              <w:t>智能实验室</w:t>
            </w:r>
            <w:r>
              <w:rPr>
                <w:rFonts w:hint="eastAsia"/>
              </w:rPr>
              <w:t>等教学设施和条件建设及使用效果</w:t>
            </w:r>
          </w:p>
        </w:tc>
      </w:tr>
      <w:tr w14:paraId="631E4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6" w:hRule="atLeast"/>
          <w:jc w:val="center"/>
        </w:trPr>
        <w:tc>
          <w:tcPr>
            <w:tcW w:w="390" w:type="pct"/>
            <w:vMerge w:val="continue"/>
            <w:shd w:val="clear" w:color="auto" w:fill="auto"/>
            <w:vAlign w:val="center"/>
          </w:tcPr>
          <w:p w14:paraId="755A74FB">
            <w:pPr>
              <w:spacing w:line="0" w:lineRule="atLeast"/>
              <w:jc w:val="center"/>
              <w:rPr>
                <w:rFonts w:hint="eastAsia"/>
              </w:rPr>
            </w:pPr>
          </w:p>
        </w:tc>
        <w:tc>
          <w:tcPr>
            <w:tcW w:w="356" w:type="pct"/>
            <w:vMerge w:val="continue"/>
            <w:shd w:val="clear" w:color="auto" w:fill="auto"/>
            <w:vAlign w:val="center"/>
          </w:tcPr>
          <w:p w14:paraId="6E9045C7">
            <w:pPr>
              <w:spacing w:line="0" w:lineRule="atLeast"/>
              <w:jc w:val="center"/>
            </w:pPr>
          </w:p>
        </w:tc>
        <w:tc>
          <w:tcPr>
            <w:tcW w:w="4252" w:type="pct"/>
            <w:gridSpan w:val="2"/>
            <w:shd w:val="clear" w:color="auto" w:fill="auto"/>
            <w:vAlign w:val="top"/>
          </w:tcPr>
          <w:p w14:paraId="6B577838">
            <w:pPr>
              <w:spacing w:line="0" w:lineRule="atLeast"/>
              <w:jc w:val="both"/>
              <w:rPr>
                <w:rFonts w:hint="eastAsia"/>
                <w:lang w:val="en-US" w:eastAsia="zh-CN"/>
              </w:rPr>
            </w:pPr>
            <w:r>
              <w:rPr>
                <w:rFonts w:hint="eastAsia"/>
                <w:lang w:val="en-US" w:eastAsia="zh-CN"/>
              </w:rPr>
              <w:t>该项指标是否建议选择（）</w:t>
            </w:r>
          </w:p>
          <w:p w14:paraId="11CFDABF">
            <w:pPr>
              <w:spacing w:line="0" w:lineRule="atLeast"/>
              <w:jc w:val="both"/>
              <w:rPr>
                <w:rFonts w:hint="default"/>
                <w:lang w:val="en-US" w:eastAsia="zh-CN"/>
              </w:rPr>
            </w:pPr>
            <w:r>
              <w:rPr>
                <w:rFonts w:hint="eastAsia"/>
                <w:lang w:val="en-US" w:eastAsia="zh-CN"/>
              </w:rPr>
              <w:t>论证理由：</w:t>
            </w:r>
          </w:p>
          <w:p w14:paraId="61671B29">
            <w:pPr>
              <w:spacing w:line="0" w:lineRule="atLeast"/>
              <w:jc w:val="both"/>
              <w:rPr>
                <w:rFonts w:hint="eastAsia"/>
              </w:rPr>
            </w:pPr>
          </w:p>
        </w:tc>
      </w:tr>
      <w:tr w14:paraId="49ECE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390" w:type="pct"/>
            <w:vMerge w:val="continue"/>
            <w:shd w:val="clear" w:color="auto" w:fill="auto"/>
          </w:tcPr>
          <w:p w14:paraId="0148B2D1">
            <w:pPr>
              <w:spacing w:line="0" w:lineRule="atLeast"/>
            </w:pPr>
          </w:p>
        </w:tc>
        <w:tc>
          <w:tcPr>
            <w:tcW w:w="356" w:type="pct"/>
            <w:vMerge w:val="continue"/>
            <w:shd w:val="clear" w:color="auto" w:fill="auto"/>
            <w:vAlign w:val="center"/>
          </w:tcPr>
          <w:p w14:paraId="13AD9C3B">
            <w:pPr>
              <w:spacing w:line="0" w:lineRule="atLeast"/>
            </w:pPr>
          </w:p>
        </w:tc>
        <w:tc>
          <w:tcPr>
            <w:tcW w:w="547" w:type="pct"/>
            <w:shd w:val="clear" w:color="auto" w:fill="FEF2CB" w:themeFill="accent3" w:themeFillTint="32"/>
            <w:vAlign w:val="center"/>
          </w:tcPr>
          <w:p w14:paraId="5F9AFB65">
            <w:pPr>
              <w:spacing w:line="0" w:lineRule="atLeast"/>
            </w:pPr>
            <w:r>
              <w:rPr>
                <w:rFonts w:hint="eastAsia"/>
              </w:rPr>
              <w:t>K 3.</w:t>
            </w:r>
            <w:r>
              <w:t>2</w:t>
            </w:r>
            <w:r>
              <w:rPr>
                <w:rFonts w:hint="eastAsia"/>
              </w:rPr>
              <w:t>.</w:t>
            </w:r>
            <w:r>
              <w:t>4</w:t>
            </w:r>
          </w:p>
        </w:tc>
        <w:tc>
          <w:tcPr>
            <w:tcW w:w="3705" w:type="pct"/>
            <w:shd w:val="clear" w:color="auto" w:fill="FEF2CB" w:themeFill="accent3" w:themeFillTint="32"/>
            <w:vAlign w:val="center"/>
          </w:tcPr>
          <w:p w14:paraId="1EB9FA32">
            <w:pPr>
              <w:spacing w:line="0" w:lineRule="atLeast"/>
              <w:jc w:val="both"/>
            </w:pPr>
            <w:r>
              <w:t>K</w:t>
            </w:r>
            <w:r>
              <w:rPr>
                <w:rFonts w:hint="eastAsia"/>
              </w:rPr>
              <w:t>2</w:t>
            </w:r>
            <w:r>
              <w:t xml:space="preserve"> </w:t>
            </w:r>
            <w:r>
              <w:rPr>
                <w:rFonts w:hint="eastAsia"/>
              </w:rPr>
              <w:t>产业技术发展成果、产学研合作项目转化为教学资源情况</w:t>
            </w:r>
          </w:p>
        </w:tc>
      </w:tr>
      <w:tr w14:paraId="740FB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1" w:hRule="atLeast"/>
          <w:jc w:val="center"/>
        </w:trPr>
        <w:tc>
          <w:tcPr>
            <w:tcW w:w="390" w:type="pct"/>
            <w:vMerge w:val="continue"/>
            <w:shd w:val="clear" w:color="auto" w:fill="auto"/>
          </w:tcPr>
          <w:p w14:paraId="23384562">
            <w:pPr>
              <w:spacing w:line="0" w:lineRule="atLeast"/>
            </w:pPr>
          </w:p>
        </w:tc>
        <w:tc>
          <w:tcPr>
            <w:tcW w:w="356" w:type="pct"/>
            <w:vMerge w:val="continue"/>
            <w:shd w:val="clear" w:color="auto" w:fill="auto"/>
            <w:vAlign w:val="center"/>
          </w:tcPr>
          <w:p w14:paraId="13B18C20">
            <w:pPr>
              <w:spacing w:line="0" w:lineRule="atLeast"/>
            </w:pPr>
          </w:p>
        </w:tc>
        <w:tc>
          <w:tcPr>
            <w:tcW w:w="4252" w:type="pct"/>
            <w:gridSpan w:val="2"/>
            <w:shd w:val="clear" w:color="auto" w:fill="auto"/>
            <w:vAlign w:val="top"/>
          </w:tcPr>
          <w:p w14:paraId="10EF3DF6">
            <w:pPr>
              <w:spacing w:line="0" w:lineRule="atLeast"/>
              <w:jc w:val="both"/>
              <w:rPr>
                <w:rFonts w:hint="eastAsia"/>
                <w:lang w:val="en-US" w:eastAsia="zh-CN"/>
              </w:rPr>
            </w:pPr>
            <w:r>
              <w:rPr>
                <w:rFonts w:hint="eastAsia"/>
                <w:lang w:val="en-US" w:eastAsia="zh-CN"/>
              </w:rPr>
              <w:t>该项指标是否建议选择（）</w:t>
            </w:r>
          </w:p>
          <w:p w14:paraId="1E5AE56B">
            <w:pPr>
              <w:spacing w:line="0" w:lineRule="atLeast"/>
              <w:jc w:val="both"/>
              <w:rPr>
                <w:rFonts w:hint="default"/>
                <w:lang w:val="en-US" w:eastAsia="zh-CN"/>
              </w:rPr>
            </w:pPr>
            <w:r>
              <w:rPr>
                <w:rFonts w:hint="eastAsia"/>
                <w:lang w:val="en-US" w:eastAsia="zh-CN"/>
              </w:rPr>
              <w:t>论证理由：</w:t>
            </w:r>
          </w:p>
          <w:p w14:paraId="707DF3F4">
            <w:pPr>
              <w:spacing w:line="0" w:lineRule="atLeast"/>
              <w:jc w:val="both"/>
            </w:pPr>
          </w:p>
        </w:tc>
      </w:tr>
    </w:tbl>
    <w:p w14:paraId="4AFCB61A">
      <w:pPr>
        <w:keepNext w:val="0"/>
        <w:keepLines w:val="0"/>
        <w:pageBreakBefore w:val="0"/>
        <w:widowControl w:val="0"/>
        <w:numPr>
          <w:ilvl w:val="0"/>
          <w:numId w:val="1"/>
        </w:numPr>
        <w:kinsoku/>
        <w:wordWrap/>
        <w:overflowPunct/>
        <w:topLinePunct w:val="0"/>
        <w:autoSpaceDE/>
        <w:autoSpaceDN/>
        <w:bidi w:val="0"/>
        <w:adjustRightInd/>
        <w:snapToGrid/>
        <w:spacing w:after="157" w:afterLines="50" w:line="560" w:lineRule="exact"/>
        <w:textAlignment w:val="auto"/>
        <w:rPr>
          <w:rFonts w:hint="eastAsia" w:ascii="Times New Roman" w:hAnsi="Times New Roman" w:eastAsia="黑体"/>
          <w:sz w:val="30"/>
          <w:szCs w:val="30"/>
        </w:rPr>
      </w:pPr>
      <w:r>
        <w:rPr>
          <w:rFonts w:hint="eastAsia" w:ascii="Times New Roman" w:hAnsi="Times New Roman" w:eastAsia="黑体"/>
          <w:sz w:val="30"/>
          <w:szCs w:val="30"/>
          <w:lang w:val="en-US" w:eastAsia="zh-CN"/>
        </w:rPr>
        <w:t>定量指标可选项</w:t>
      </w:r>
    </w:p>
    <w:tbl>
      <w:tblPr>
        <w:tblStyle w:val="4"/>
        <w:tblW w:w="5087" w:type="pct"/>
        <w:tblInd w:w="0" w:type="dxa"/>
        <w:tblLayout w:type="fixed"/>
        <w:tblCellMar>
          <w:top w:w="0" w:type="dxa"/>
          <w:left w:w="108" w:type="dxa"/>
          <w:bottom w:w="0" w:type="dxa"/>
          <w:right w:w="108" w:type="dxa"/>
        </w:tblCellMar>
      </w:tblPr>
      <w:tblGrid>
        <w:gridCol w:w="615"/>
        <w:gridCol w:w="622"/>
        <w:gridCol w:w="4863"/>
        <w:gridCol w:w="765"/>
        <w:gridCol w:w="885"/>
        <w:gridCol w:w="784"/>
        <w:gridCol w:w="916"/>
      </w:tblGrid>
      <w:tr w14:paraId="006CDDFC">
        <w:tblPrEx>
          <w:tblCellMar>
            <w:top w:w="0" w:type="dxa"/>
            <w:left w:w="108" w:type="dxa"/>
            <w:bottom w:w="0" w:type="dxa"/>
            <w:right w:w="108" w:type="dxa"/>
          </w:tblCellMar>
        </w:tblPrEx>
        <w:trPr>
          <w:trHeight w:val="839" w:hRule="atLeast"/>
          <w:tblHeader/>
        </w:trPr>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107B3A43">
            <w:pPr>
              <w:spacing w:line="0" w:lineRule="atLeast"/>
              <w:jc w:val="center"/>
              <w:rPr>
                <w:rFonts w:hint="eastAsia"/>
                <w:b/>
              </w:rPr>
            </w:pPr>
            <w:r>
              <w:rPr>
                <w:rFonts w:hint="eastAsia"/>
                <w:b/>
              </w:rPr>
              <w:t>一级</w:t>
            </w:r>
          </w:p>
          <w:p w14:paraId="1B7AD24F">
            <w:pPr>
              <w:spacing w:line="0" w:lineRule="atLeast"/>
              <w:jc w:val="center"/>
              <w:rPr>
                <w:rFonts w:hint="eastAsia"/>
                <w:b/>
              </w:rPr>
            </w:pPr>
            <w:r>
              <w:rPr>
                <w:rFonts w:hint="eastAsia"/>
                <w:b/>
              </w:rPr>
              <w:t>指标</w:t>
            </w: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4EBAF0B3">
            <w:pPr>
              <w:spacing w:line="0" w:lineRule="atLeast"/>
              <w:jc w:val="center"/>
              <w:rPr>
                <w:rFonts w:hint="eastAsia"/>
                <w:b/>
              </w:rPr>
            </w:pPr>
            <w:r>
              <w:rPr>
                <w:rFonts w:hint="eastAsia"/>
                <w:b/>
              </w:rPr>
              <w:t>二级</w:t>
            </w:r>
          </w:p>
          <w:p w14:paraId="1C6C4481">
            <w:pPr>
              <w:spacing w:line="0" w:lineRule="atLeast"/>
              <w:jc w:val="center"/>
              <w:rPr>
                <w:rFonts w:hint="eastAsia"/>
                <w:b/>
              </w:rPr>
            </w:pPr>
            <w:r>
              <w:rPr>
                <w:rFonts w:hint="eastAsia"/>
                <w:b/>
              </w:rPr>
              <w:t>指标</w:t>
            </w:r>
          </w:p>
        </w:tc>
        <w:tc>
          <w:tcPr>
            <w:tcW w:w="2573" w:type="pct"/>
            <w:tcBorders>
              <w:top w:val="single" w:color="auto" w:sz="4" w:space="0"/>
              <w:left w:val="nil"/>
              <w:bottom w:val="single" w:color="auto" w:sz="4" w:space="0"/>
              <w:right w:val="single" w:color="auto" w:sz="4" w:space="0"/>
            </w:tcBorders>
            <w:shd w:val="clear" w:color="auto" w:fill="auto"/>
            <w:vAlign w:val="center"/>
          </w:tcPr>
          <w:p w14:paraId="37052741">
            <w:pPr>
              <w:spacing w:line="0" w:lineRule="atLeast"/>
              <w:jc w:val="center"/>
              <w:rPr>
                <w:rFonts w:hint="eastAsia"/>
                <w:b/>
              </w:rPr>
            </w:pPr>
            <w:r>
              <w:rPr>
                <w:rFonts w:hint="eastAsia"/>
                <w:b/>
              </w:rPr>
              <w:t>指标内容</w:t>
            </w:r>
          </w:p>
        </w:tc>
        <w:tc>
          <w:tcPr>
            <w:tcW w:w="404" w:type="pct"/>
            <w:tcBorders>
              <w:top w:val="single" w:color="auto" w:sz="4" w:space="0"/>
              <w:left w:val="nil"/>
              <w:bottom w:val="single" w:color="auto" w:sz="4" w:space="0"/>
              <w:right w:val="single" w:color="auto" w:sz="4" w:space="0"/>
            </w:tcBorders>
            <w:shd w:val="clear" w:color="000000" w:fill="FFFFFF"/>
            <w:vAlign w:val="center"/>
          </w:tcPr>
          <w:p w14:paraId="65E62903">
            <w:pPr>
              <w:spacing w:line="0" w:lineRule="atLeast"/>
              <w:jc w:val="center"/>
              <w:rPr>
                <w:rFonts w:hint="eastAsia"/>
                <w:b/>
              </w:rPr>
            </w:pPr>
            <w:r>
              <w:rPr>
                <w:rFonts w:hint="eastAsia"/>
                <w:b/>
              </w:rPr>
              <w:t>我校</w:t>
            </w:r>
          </w:p>
          <w:p w14:paraId="1531A337">
            <w:pPr>
              <w:spacing w:line="0" w:lineRule="atLeast"/>
              <w:jc w:val="center"/>
              <w:rPr>
                <w:rFonts w:hint="eastAsia"/>
                <w:b/>
              </w:rPr>
            </w:pPr>
            <w:r>
              <w:rPr>
                <w:rFonts w:hint="eastAsia"/>
                <w:b/>
              </w:rPr>
              <w:t>数据</w:t>
            </w:r>
          </w:p>
        </w:tc>
        <w:tc>
          <w:tcPr>
            <w:tcW w:w="468" w:type="pct"/>
            <w:tcBorders>
              <w:top w:val="single" w:color="auto" w:sz="4" w:space="0"/>
              <w:left w:val="nil"/>
              <w:bottom w:val="single" w:color="auto" w:sz="4" w:space="0"/>
              <w:right w:val="single" w:color="auto" w:sz="4" w:space="0"/>
            </w:tcBorders>
            <w:vAlign w:val="center"/>
          </w:tcPr>
          <w:p w14:paraId="69D4367F">
            <w:pPr>
              <w:spacing w:line="0" w:lineRule="atLeast"/>
              <w:jc w:val="center"/>
              <w:rPr>
                <w:rFonts w:hint="eastAsia" w:eastAsiaTheme="minorEastAsia"/>
                <w:b/>
                <w:lang w:eastAsia="zh-CN"/>
              </w:rPr>
            </w:pPr>
            <w:r>
              <w:rPr>
                <w:rFonts w:hint="eastAsia"/>
                <w:b/>
                <w:lang w:val="en-US" w:eastAsia="zh-CN"/>
              </w:rPr>
              <w:t>辽宁省常模</w:t>
            </w:r>
          </w:p>
        </w:tc>
        <w:tc>
          <w:tcPr>
            <w:tcW w:w="414" w:type="pct"/>
            <w:tcBorders>
              <w:top w:val="single" w:color="auto" w:sz="4" w:space="0"/>
              <w:left w:val="nil"/>
              <w:bottom w:val="single" w:color="auto" w:sz="4" w:space="0"/>
              <w:right w:val="single" w:color="auto" w:sz="4" w:space="0"/>
            </w:tcBorders>
            <w:vAlign w:val="center"/>
          </w:tcPr>
          <w:p w14:paraId="105DFCB3">
            <w:pPr>
              <w:spacing w:line="0" w:lineRule="atLeast"/>
              <w:jc w:val="center"/>
              <w:rPr>
                <w:rFonts w:hint="eastAsia" w:eastAsiaTheme="minorEastAsia"/>
                <w:b/>
                <w:lang w:val="en-US" w:eastAsia="zh-CN"/>
              </w:rPr>
            </w:pPr>
            <w:r>
              <w:rPr>
                <w:rFonts w:hint="eastAsia"/>
                <w:b/>
                <w:lang w:val="en-US" w:eastAsia="zh-CN"/>
              </w:rPr>
              <w:t>全国常模</w:t>
            </w:r>
          </w:p>
        </w:tc>
        <w:tc>
          <w:tcPr>
            <w:tcW w:w="484" w:type="pct"/>
            <w:tcBorders>
              <w:top w:val="single" w:color="auto" w:sz="4" w:space="0"/>
              <w:left w:val="nil"/>
              <w:bottom w:val="single" w:color="auto" w:sz="4" w:space="0"/>
              <w:right w:val="single" w:color="auto" w:sz="4" w:space="0"/>
            </w:tcBorders>
            <w:vAlign w:val="center"/>
          </w:tcPr>
          <w:p w14:paraId="16590C61">
            <w:pPr>
              <w:spacing w:line="0" w:lineRule="atLeast"/>
              <w:jc w:val="center"/>
              <w:rPr>
                <w:rFonts w:hint="default" w:eastAsiaTheme="minorEastAsia"/>
                <w:b/>
                <w:lang w:val="en-US" w:eastAsia="zh-CN"/>
              </w:rPr>
            </w:pPr>
            <w:r>
              <w:rPr>
                <w:rFonts w:hint="eastAsia"/>
                <w:b/>
                <w:lang w:val="en-US" w:eastAsia="zh-CN"/>
              </w:rPr>
              <w:t>师范类常模</w:t>
            </w:r>
          </w:p>
        </w:tc>
      </w:tr>
      <w:tr w14:paraId="0EC68FC3">
        <w:tblPrEx>
          <w:tblCellMar>
            <w:top w:w="0" w:type="dxa"/>
            <w:left w:w="108" w:type="dxa"/>
            <w:bottom w:w="0" w:type="dxa"/>
            <w:right w:w="108" w:type="dxa"/>
          </w:tblCellMar>
        </w:tblPrEx>
        <w:trPr>
          <w:trHeight w:val="386" w:hRule="atLeast"/>
        </w:trPr>
        <w:tc>
          <w:tcPr>
            <w:tcW w:w="325" w:type="pct"/>
            <w:vMerge w:val="restart"/>
            <w:tcBorders>
              <w:top w:val="single" w:color="auto" w:sz="4" w:space="0"/>
              <w:left w:val="single" w:color="auto" w:sz="4" w:space="0"/>
              <w:right w:val="single" w:color="auto" w:sz="4" w:space="0"/>
            </w:tcBorders>
            <w:shd w:val="clear" w:color="auto" w:fill="auto"/>
            <w:vAlign w:val="center"/>
          </w:tcPr>
          <w:p w14:paraId="2D25DFBF">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p w14:paraId="3865FF33">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培养过程</w:t>
            </w:r>
          </w:p>
        </w:tc>
        <w:tc>
          <w:tcPr>
            <w:tcW w:w="329" w:type="pct"/>
            <w:vMerge w:val="restart"/>
            <w:tcBorders>
              <w:top w:val="single" w:color="auto" w:sz="4" w:space="0"/>
              <w:left w:val="single" w:color="auto" w:sz="4" w:space="0"/>
              <w:right w:val="single" w:color="auto" w:sz="4" w:space="0"/>
            </w:tcBorders>
            <w:shd w:val="clear" w:color="auto" w:fill="auto"/>
            <w:vAlign w:val="center"/>
          </w:tcPr>
          <w:p w14:paraId="466F4AF9">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2.2专业建设</w:t>
            </w:r>
          </w:p>
        </w:tc>
        <w:tc>
          <w:tcPr>
            <w:tcW w:w="2573"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11A75AD3">
            <w:pPr>
              <w:spacing w:line="0" w:lineRule="atLeast"/>
              <w:jc w:val="both"/>
              <w:rPr>
                <w:rFonts w:hint="eastAsia" w:ascii="宋体" w:hAnsi="宋体" w:eastAsia="宋体" w:cs="宋体"/>
                <w:lang w:val="en-US" w:eastAsia="zh-CN"/>
              </w:rPr>
            </w:pPr>
            <w:r>
              <w:rPr>
                <w:rFonts w:hint="eastAsia" w:ascii="宋体" w:hAnsi="宋体" w:eastAsia="宋体" w:cs="宋体"/>
                <w:lang w:val="en-US" w:eastAsia="zh-CN"/>
              </w:rPr>
              <w:t>【可选1】近三年新增专业数</w:t>
            </w:r>
          </w:p>
        </w:tc>
        <w:tc>
          <w:tcPr>
            <w:tcW w:w="40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29329EFF">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0</w:t>
            </w:r>
          </w:p>
        </w:tc>
        <w:tc>
          <w:tcPr>
            <w:tcW w:w="468"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7C0BD0C7">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3.13</w:t>
            </w:r>
          </w:p>
        </w:tc>
        <w:tc>
          <w:tcPr>
            <w:tcW w:w="41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52828FE3">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3.89</w:t>
            </w:r>
          </w:p>
        </w:tc>
        <w:tc>
          <w:tcPr>
            <w:tcW w:w="48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5183E93B">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3.25</w:t>
            </w:r>
          </w:p>
        </w:tc>
      </w:tr>
      <w:tr w14:paraId="77337488">
        <w:tblPrEx>
          <w:tblCellMar>
            <w:top w:w="0" w:type="dxa"/>
            <w:left w:w="108" w:type="dxa"/>
            <w:bottom w:w="0" w:type="dxa"/>
            <w:right w:w="108" w:type="dxa"/>
          </w:tblCellMar>
        </w:tblPrEx>
        <w:trPr>
          <w:trHeight w:val="1651" w:hRule="atLeast"/>
        </w:trPr>
        <w:tc>
          <w:tcPr>
            <w:tcW w:w="325" w:type="pct"/>
            <w:vMerge w:val="continue"/>
            <w:tcBorders>
              <w:left w:val="single" w:color="auto" w:sz="4" w:space="0"/>
              <w:right w:val="single" w:color="auto" w:sz="4" w:space="0"/>
            </w:tcBorders>
            <w:shd w:val="clear" w:color="auto" w:fill="auto"/>
            <w:vAlign w:val="center"/>
          </w:tcPr>
          <w:p w14:paraId="21089FC1">
            <w:pPr>
              <w:spacing w:line="0" w:lineRule="atLeast"/>
              <w:jc w:val="center"/>
              <w:rPr>
                <w:rFonts w:hint="eastAsia" w:ascii="宋体" w:hAnsi="宋体" w:eastAsia="宋体" w:cs="宋体"/>
                <w:lang w:val="en-US" w:eastAsia="zh-CN"/>
              </w:rPr>
            </w:pPr>
          </w:p>
        </w:tc>
        <w:tc>
          <w:tcPr>
            <w:tcW w:w="329" w:type="pct"/>
            <w:vMerge w:val="continue"/>
            <w:tcBorders>
              <w:left w:val="single" w:color="auto" w:sz="4" w:space="0"/>
              <w:right w:val="single" w:color="auto" w:sz="4" w:space="0"/>
            </w:tcBorders>
            <w:shd w:val="clear" w:color="auto" w:fill="auto"/>
            <w:vAlign w:val="center"/>
          </w:tcPr>
          <w:p w14:paraId="0E4F00BA">
            <w:pPr>
              <w:spacing w:line="0" w:lineRule="atLeast"/>
              <w:jc w:val="center"/>
              <w:rPr>
                <w:rFonts w:hint="eastAsia" w:ascii="宋体" w:hAnsi="宋体" w:eastAsia="宋体" w:cs="宋体"/>
                <w:lang w:val="en-US" w:eastAsia="zh-CN"/>
              </w:rPr>
            </w:pPr>
          </w:p>
        </w:tc>
        <w:tc>
          <w:tcPr>
            <w:tcW w:w="4345" w:type="pct"/>
            <w:gridSpan w:val="5"/>
            <w:tcBorders>
              <w:top w:val="single" w:color="auto" w:sz="4" w:space="0"/>
              <w:left w:val="nil"/>
              <w:bottom w:val="single" w:color="auto" w:sz="4" w:space="0"/>
              <w:right w:val="single" w:color="auto" w:sz="4" w:space="0"/>
            </w:tcBorders>
            <w:shd w:val="clear" w:color="auto" w:fill="auto"/>
            <w:vAlign w:val="top"/>
          </w:tcPr>
          <w:p w14:paraId="57698606">
            <w:pPr>
              <w:spacing w:line="0" w:lineRule="atLeast"/>
              <w:jc w:val="both"/>
              <w:rPr>
                <w:rFonts w:hint="eastAsia"/>
                <w:lang w:val="en-US" w:eastAsia="zh-CN"/>
              </w:rPr>
            </w:pPr>
            <w:r>
              <w:rPr>
                <w:rFonts w:hint="eastAsia"/>
                <w:lang w:val="en-US" w:eastAsia="zh-CN"/>
              </w:rPr>
              <w:t>该项指标是否建议选择（）</w:t>
            </w:r>
          </w:p>
          <w:p w14:paraId="4192C1CF">
            <w:pPr>
              <w:spacing w:line="0" w:lineRule="atLeast"/>
              <w:jc w:val="both"/>
              <w:rPr>
                <w:rFonts w:hint="default"/>
                <w:lang w:val="en-US" w:eastAsia="zh-CN"/>
              </w:rPr>
            </w:pPr>
            <w:r>
              <w:rPr>
                <w:rFonts w:hint="eastAsia"/>
                <w:lang w:val="en-US" w:eastAsia="zh-CN"/>
              </w:rPr>
              <w:t>论证理由：</w:t>
            </w:r>
          </w:p>
          <w:p w14:paraId="43E2F46C">
            <w:pPr>
              <w:spacing w:line="0" w:lineRule="atLeast"/>
              <w:jc w:val="both"/>
              <w:rPr>
                <w:rFonts w:hint="eastAsia" w:ascii="宋体" w:hAnsi="宋体" w:eastAsia="宋体" w:cs="宋体"/>
                <w:lang w:val="en-US" w:eastAsia="zh-CN"/>
              </w:rPr>
            </w:pPr>
          </w:p>
        </w:tc>
      </w:tr>
      <w:tr w14:paraId="53A8DD0E">
        <w:tblPrEx>
          <w:tblCellMar>
            <w:top w:w="0" w:type="dxa"/>
            <w:left w:w="108" w:type="dxa"/>
            <w:bottom w:w="0" w:type="dxa"/>
            <w:right w:w="108" w:type="dxa"/>
          </w:tblCellMar>
        </w:tblPrEx>
        <w:trPr>
          <w:trHeight w:val="404" w:hRule="atLeast"/>
        </w:trPr>
        <w:tc>
          <w:tcPr>
            <w:tcW w:w="325" w:type="pct"/>
            <w:vMerge w:val="continue"/>
            <w:tcBorders>
              <w:left w:val="single" w:color="auto" w:sz="4" w:space="0"/>
              <w:right w:val="single" w:color="auto" w:sz="4" w:space="0"/>
            </w:tcBorders>
            <w:vAlign w:val="center"/>
          </w:tcPr>
          <w:p w14:paraId="1B6B136E">
            <w:pPr>
              <w:spacing w:line="0" w:lineRule="atLeast"/>
              <w:jc w:val="center"/>
              <w:rPr>
                <w:rFonts w:hint="eastAsia" w:ascii="宋体" w:hAnsi="宋体" w:eastAsia="宋体" w:cs="宋体"/>
                <w:lang w:val="en-US" w:eastAsia="zh-CN"/>
              </w:rPr>
            </w:pPr>
          </w:p>
        </w:tc>
        <w:tc>
          <w:tcPr>
            <w:tcW w:w="329" w:type="pct"/>
            <w:vMerge w:val="continue"/>
            <w:tcBorders>
              <w:left w:val="single" w:color="auto" w:sz="4" w:space="0"/>
              <w:right w:val="single" w:color="auto" w:sz="4" w:space="0"/>
            </w:tcBorders>
            <w:vAlign w:val="center"/>
          </w:tcPr>
          <w:p w14:paraId="590DEFC2">
            <w:pPr>
              <w:spacing w:line="0" w:lineRule="atLeast"/>
              <w:jc w:val="center"/>
              <w:rPr>
                <w:rFonts w:hint="eastAsia" w:ascii="宋体" w:hAnsi="宋体" w:eastAsia="宋体" w:cs="宋体"/>
                <w:lang w:val="en-US" w:eastAsia="zh-CN"/>
              </w:rPr>
            </w:pPr>
          </w:p>
        </w:tc>
        <w:tc>
          <w:tcPr>
            <w:tcW w:w="2573" w:type="pct"/>
            <w:tcBorders>
              <w:top w:val="nil"/>
              <w:left w:val="nil"/>
              <w:bottom w:val="single" w:color="auto" w:sz="4" w:space="0"/>
              <w:right w:val="single" w:color="auto" w:sz="4" w:space="0"/>
            </w:tcBorders>
            <w:shd w:val="clear" w:color="auto" w:fill="FEF2CB" w:themeFill="accent3" w:themeFillTint="32"/>
            <w:vAlign w:val="center"/>
          </w:tcPr>
          <w:p w14:paraId="6237B203">
            <w:pPr>
              <w:spacing w:line="0" w:lineRule="atLeast"/>
              <w:jc w:val="both"/>
              <w:rPr>
                <w:rFonts w:hint="eastAsia" w:ascii="宋体" w:hAnsi="宋体" w:eastAsia="宋体" w:cs="宋体"/>
                <w:lang w:val="en-US" w:eastAsia="zh-CN"/>
              </w:rPr>
            </w:pPr>
            <w:r>
              <w:rPr>
                <w:rFonts w:hint="eastAsia" w:ascii="宋体" w:hAnsi="宋体" w:eastAsia="宋体" w:cs="宋体"/>
                <w:lang w:val="en-US" w:eastAsia="zh-CN"/>
              </w:rPr>
              <w:t>【可选2】近三年停招专业数</w:t>
            </w:r>
          </w:p>
        </w:tc>
        <w:tc>
          <w:tcPr>
            <w:tcW w:w="404" w:type="pct"/>
            <w:tcBorders>
              <w:top w:val="nil"/>
              <w:left w:val="nil"/>
              <w:bottom w:val="single" w:color="auto" w:sz="4" w:space="0"/>
              <w:right w:val="single" w:color="auto" w:sz="4" w:space="0"/>
            </w:tcBorders>
            <w:shd w:val="clear" w:color="auto" w:fill="FEF2CB" w:themeFill="accent3" w:themeFillTint="32"/>
            <w:vAlign w:val="center"/>
          </w:tcPr>
          <w:p w14:paraId="26487ECA">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20</w:t>
            </w:r>
          </w:p>
        </w:tc>
        <w:tc>
          <w:tcPr>
            <w:tcW w:w="468"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0585576E">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5.2</w:t>
            </w:r>
          </w:p>
        </w:tc>
        <w:tc>
          <w:tcPr>
            <w:tcW w:w="41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7A2FB1B0">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4.85</w:t>
            </w:r>
          </w:p>
        </w:tc>
        <w:tc>
          <w:tcPr>
            <w:tcW w:w="48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240CC97F">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5.94</w:t>
            </w:r>
          </w:p>
        </w:tc>
      </w:tr>
      <w:tr w14:paraId="467A3C26">
        <w:tblPrEx>
          <w:tblCellMar>
            <w:top w:w="0" w:type="dxa"/>
            <w:left w:w="108" w:type="dxa"/>
            <w:bottom w:w="0" w:type="dxa"/>
            <w:right w:w="108" w:type="dxa"/>
          </w:tblCellMar>
        </w:tblPrEx>
        <w:trPr>
          <w:trHeight w:val="1724" w:hRule="atLeast"/>
        </w:trPr>
        <w:tc>
          <w:tcPr>
            <w:tcW w:w="325" w:type="pct"/>
            <w:vMerge w:val="continue"/>
            <w:tcBorders>
              <w:left w:val="single" w:color="auto" w:sz="4" w:space="0"/>
              <w:right w:val="single" w:color="auto" w:sz="4" w:space="0"/>
            </w:tcBorders>
            <w:vAlign w:val="center"/>
          </w:tcPr>
          <w:p w14:paraId="0FF5EB01">
            <w:pPr>
              <w:spacing w:line="0" w:lineRule="atLeast"/>
              <w:jc w:val="center"/>
              <w:rPr>
                <w:rFonts w:hint="eastAsia" w:ascii="宋体" w:hAnsi="宋体" w:eastAsia="宋体" w:cs="宋体"/>
                <w:lang w:val="en-US" w:eastAsia="zh-CN"/>
              </w:rPr>
            </w:pPr>
          </w:p>
        </w:tc>
        <w:tc>
          <w:tcPr>
            <w:tcW w:w="329" w:type="pct"/>
            <w:vMerge w:val="continue"/>
            <w:tcBorders>
              <w:left w:val="single" w:color="auto" w:sz="4" w:space="0"/>
              <w:bottom w:val="single" w:color="auto" w:sz="4" w:space="0"/>
              <w:right w:val="single" w:color="auto" w:sz="4" w:space="0"/>
            </w:tcBorders>
            <w:vAlign w:val="center"/>
          </w:tcPr>
          <w:p w14:paraId="448330C6">
            <w:pPr>
              <w:spacing w:line="0" w:lineRule="atLeast"/>
              <w:jc w:val="center"/>
              <w:rPr>
                <w:rFonts w:hint="eastAsia" w:ascii="宋体" w:hAnsi="宋体" w:eastAsia="宋体" w:cs="宋体"/>
                <w:lang w:val="en-US" w:eastAsia="zh-CN"/>
              </w:rPr>
            </w:pPr>
          </w:p>
        </w:tc>
        <w:tc>
          <w:tcPr>
            <w:tcW w:w="4345" w:type="pct"/>
            <w:gridSpan w:val="5"/>
            <w:tcBorders>
              <w:top w:val="nil"/>
              <w:left w:val="nil"/>
              <w:bottom w:val="single" w:color="auto" w:sz="4" w:space="0"/>
              <w:right w:val="single" w:color="auto" w:sz="4" w:space="0"/>
            </w:tcBorders>
            <w:shd w:val="clear" w:color="auto" w:fill="FFFFFF" w:themeFill="background1"/>
            <w:vAlign w:val="top"/>
          </w:tcPr>
          <w:p w14:paraId="453250A8">
            <w:pPr>
              <w:spacing w:line="0" w:lineRule="atLeast"/>
              <w:jc w:val="both"/>
              <w:rPr>
                <w:rFonts w:hint="eastAsia"/>
                <w:lang w:val="en-US" w:eastAsia="zh-CN"/>
              </w:rPr>
            </w:pPr>
            <w:r>
              <w:rPr>
                <w:rFonts w:hint="eastAsia"/>
                <w:lang w:val="en-US" w:eastAsia="zh-CN"/>
              </w:rPr>
              <w:t>该项指标是否建议选择（）</w:t>
            </w:r>
          </w:p>
          <w:p w14:paraId="04B96F78">
            <w:pPr>
              <w:spacing w:line="0" w:lineRule="atLeast"/>
              <w:jc w:val="both"/>
              <w:rPr>
                <w:rFonts w:hint="default"/>
                <w:lang w:val="en-US" w:eastAsia="zh-CN"/>
              </w:rPr>
            </w:pPr>
            <w:r>
              <w:rPr>
                <w:rFonts w:hint="eastAsia"/>
                <w:lang w:val="en-US" w:eastAsia="zh-CN"/>
              </w:rPr>
              <w:t>论证理由：</w:t>
            </w:r>
          </w:p>
          <w:p w14:paraId="6BDFADED">
            <w:pPr>
              <w:spacing w:line="0" w:lineRule="atLeast"/>
              <w:jc w:val="both"/>
              <w:rPr>
                <w:rFonts w:hint="eastAsia" w:ascii="宋体" w:hAnsi="宋体" w:eastAsia="宋体" w:cs="宋体"/>
                <w:lang w:val="en-US" w:eastAsia="zh-CN"/>
              </w:rPr>
            </w:pPr>
          </w:p>
        </w:tc>
      </w:tr>
      <w:tr w14:paraId="2DD9FD65">
        <w:tblPrEx>
          <w:tblCellMar>
            <w:top w:w="0" w:type="dxa"/>
            <w:left w:w="108" w:type="dxa"/>
            <w:bottom w:w="0" w:type="dxa"/>
            <w:right w:w="108" w:type="dxa"/>
          </w:tblCellMar>
        </w:tblPrEx>
        <w:trPr>
          <w:trHeight w:val="426" w:hRule="atLeast"/>
        </w:trPr>
        <w:tc>
          <w:tcPr>
            <w:tcW w:w="325" w:type="pct"/>
            <w:vMerge w:val="continue"/>
            <w:tcBorders>
              <w:left w:val="single" w:color="auto" w:sz="4" w:space="0"/>
              <w:right w:val="single" w:color="auto" w:sz="4" w:space="0"/>
            </w:tcBorders>
            <w:vAlign w:val="center"/>
          </w:tcPr>
          <w:p w14:paraId="0CBE7DF2">
            <w:pPr>
              <w:spacing w:line="0" w:lineRule="atLeast"/>
              <w:jc w:val="center"/>
              <w:rPr>
                <w:rFonts w:hint="eastAsia" w:ascii="宋体" w:hAnsi="宋体" w:eastAsia="宋体" w:cs="宋体"/>
                <w:lang w:val="en-US" w:eastAsia="zh-CN"/>
              </w:rPr>
            </w:pPr>
          </w:p>
        </w:tc>
        <w:tc>
          <w:tcPr>
            <w:tcW w:w="329" w:type="pct"/>
            <w:vMerge w:val="restart"/>
            <w:tcBorders>
              <w:top w:val="single" w:color="auto" w:sz="4" w:space="0"/>
              <w:left w:val="single" w:color="auto" w:sz="4" w:space="0"/>
              <w:right w:val="single" w:color="auto" w:sz="4" w:space="0"/>
            </w:tcBorders>
            <w:shd w:val="clear" w:color="auto" w:fill="auto"/>
            <w:vAlign w:val="center"/>
          </w:tcPr>
          <w:p w14:paraId="4526F36F">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2.3实践教学</w:t>
            </w:r>
          </w:p>
        </w:tc>
        <w:tc>
          <w:tcPr>
            <w:tcW w:w="2573"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634EE673">
            <w:pPr>
              <w:spacing w:line="0" w:lineRule="atLeast"/>
              <w:jc w:val="both"/>
              <w:rPr>
                <w:rFonts w:hint="eastAsia" w:ascii="宋体" w:hAnsi="宋体" w:eastAsia="宋体" w:cs="宋体"/>
                <w:lang w:val="en-US" w:eastAsia="zh-CN"/>
              </w:rPr>
            </w:pPr>
            <w:r>
              <w:rPr>
                <w:rFonts w:hint="eastAsia" w:ascii="宋体" w:hAnsi="宋体" w:eastAsia="宋体" w:cs="宋体"/>
                <w:lang w:val="en-US" w:eastAsia="zh-CN"/>
              </w:rPr>
              <w:t>【可选3】与行业企业共建的实验教学中心数</w:t>
            </w:r>
          </w:p>
        </w:tc>
        <w:tc>
          <w:tcPr>
            <w:tcW w:w="40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41D88C81">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468"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12A919E3">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1.4</w:t>
            </w:r>
          </w:p>
        </w:tc>
        <w:tc>
          <w:tcPr>
            <w:tcW w:w="41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317E5375">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1.21</w:t>
            </w:r>
          </w:p>
        </w:tc>
        <w:tc>
          <w:tcPr>
            <w:tcW w:w="48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5181FA1A">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w:t>
            </w:r>
          </w:p>
        </w:tc>
      </w:tr>
      <w:tr w14:paraId="59DB81BA">
        <w:tblPrEx>
          <w:tblCellMar>
            <w:top w:w="0" w:type="dxa"/>
            <w:left w:w="108" w:type="dxa"/>
            <w:bottom w:w="0" w:type="dxa"/>
            <w:right w:w="108" w:type="dxa"/>
          </w:tblCellMar>
        </w:tblPrEx>
        <w:trPr>
          <w:trHeight w:val="1556" w:hRule="atLeast"/>
        </w:trPr>
        <w:tc>
          <w:tcPr>
            <w:tcW w:w="325" w:type="pct"/>
            <w:vMerge w:val="continue"/>
            <w:tcBorders>
              <w:left w:val="single" w:color="auto" w:sz="4" w:space="0"/>
              <w:right w:val="single" w:color="auto" w:sz="4" w:space="0"/>
            </w:tcBorders>
            <w:vAlign w:val="center"/>
          </w:tcPr>
          <w:p w14:paraId="366C3EC1">
            <w:pPr>
              <w:spacing w:line="0" w:lineRule="atLeast"/>
              <w:jc w:val="center"/>
              <w:rPr>
                <w:rFonts w:hint="eastAsia" w:ascii="宋体" w:hAnsi="宋体" w:eastAsia="宋体" w:cs="宋体"/>
                <w:lang w:val="en-US" w:eastAsia="zh-CN"/>
              </w:rPr>
            </w:pPr>
          </w:p>
        </w:tc>
        <w:tc>
          <w:tcPr>
            <w:tcW w:w="329" w:type="pct"/>
            <w:vMerge w:val="continue"/>
            <w:tcBorders>
              <w:left w:val="single" w:color="auto" w:sz="4" w:space="0"/>
              <w:right w:val="single" w:color="auto" w:sz="4" w:space="0"/>
            </w:tcBorders>
            <w:shd w:val="clear" w:color="auto" w:fill="auto"/>
            <w:vAlign w:val="center"/>
          </w:tcPr>
          <w:p w14:paraId="155E1FB8">
            <w:pPr>
              <w:spacing w:line="0" w:lineRule="atLeast"/>
              <w:jc w:val="center"/>
              <w:rPr>
                <w:rFonts w:hint="eastAsia" w:ascii="宋体" w:hAnsi="宋体" w:eastAsia="宋体" w:cs="宋体"/>
                <w:lang w:val="en-US" w:eastAsia="zh-CN"/>
              </w:rPr>
            </w:pPr>
          </w:p>
        </w:tc>
        <w:tc>
          <w:tcPr>
            <w:tcW w:w="4345" w:type="pct"/>
            <w:gridSpan w:val="5"/>
            <w:tcBorders>
              <w:top w:val="nil"/>
              <w:left w:val="nil"/>
              <w:bottom w:val="single" w:color="auto" w:sz="4" w:space="0"/>
              <w:right w:val="single" w:color="auto" w:sz="4" w:space="0"/>
            </w:tcBorders>
            <w:shd w:val="clear" w:color="auto" w:fill="auto"/>
            <w:vAlign w:val="top"/>
          </w:tcPr>
          <w:p w14:paraId="689CF2A6">
            <w:pPr>
              <w:spacing w:line="0" w:lineRule="atLeast"/>
              <w:jc w:val="both"/>
              <w:rPr>
                <w:rFonts w:hint="eastAsia"/>
                <w:lang w:val="en-US" w:eastAsia="zh-CN"/>
              </w:rPr>
            </w:pPr>
            <w:r>
              <w:rPr>
                <w:rFonts w:hint="eastAsia"/>
                <w:lang w:val="en-US" w:eastAsia="zh-CN"/>
              </w:rPr>
              <w:t>该项指标是否建议选择（）</w:t>
            </w:r>
          </w:p>
          <w:p w14:paraId="5C695EF5">
            <w:pPr>
              <w:spacing w:line="0" w:lineRule="atLeast"/>
              <w:jc w:val="both"/>
              <w:rPr>
                <w:rFonts w:hint="default"/>
                <w:lang w:val="en-US" w:eastAsia="zh-CN"/>
              </w:rPr>
            </w:pPr>
            <w:r>
              <w:rPr>
                <w:rFonts w:hint="eastAsia"/>
                <w:lang w:val="en-US" w:eastAsia="zh-CN"/>
              </w:rPr>
              <w:t>论证理由：</w:t>
            </w:r>
          </w:p>
          <w:p w14:paraId="5BE8A9BA">
            <w:pPr>
              <w:spacing w:line="0" w:lineRule="atLeast"/>
              <w:jc w:val="both"/>
              <w:rPr>
                <w:rFonts w:hint="eastAsia" w:ascii="宋体" w:hAnsi="宋体" w:eastAsia="宋体" w:cs="宋体"/>
                <w:lang w:val="en-US" w:eastAsia="zh-CN"/>
              </w:rPr>
            </w:pPr>
          </w:p>
        </w:tc>
      </w:tr>
      <w:tr w14:paraId="7231306B">
        <w:tblPrEx>
          <w:tblCellMar>
            <w:top w:w="0" w:type="dxa"/>
            <w:left w:w="108" w:type="dxa"/>
            <w:bottom w:w="0" w:type="dxa"/>
            <w:right w:w="108" w:type="dxa"/>
          </w:tblCellMar>
        </w:tblPrEx>
        <w:trPr>
          <w:trHeight w:val="486" w:hRule="atLeast"/>
        </w:trPr>
        <w:tc>
          <w:tcPr>
            <w:tcW w:w="325" w:type="pct"/>
            <w:vMerge w:val="continue"/>
            <w:tcBorders>
              <w:left w:val="single" w:color="auto" w:sz="4" w:space="0"/>
              <w:right w:val="single" w:color="auto" w:sz="4" w:space="0"/>
            </w:tcBorders>
            <w:vAlign w:val="center"/>
          </w:tcPr>
          <w:p w14:paraId="2B585522">
            <w:pPr>
              <w:spacing w:line="0" w:lineRule="atLeast"/>
              <w:jc w:val="center"/>
              <w:rPr>
                <w:rFonts w:hint="eastAsia" w:ascii="宋体" w:hAnsi="宋体" w:eastAsia="宋体" w:cs="宋体"/>
                <w:lang w:val="en-US" w:eastAsia="zh-CN"/>
              </w:rPr>
            </w:pPr>
          </w:p>
        </w:tc>
        <w:tc>
          <w:tcPr>
            <w:tcW w:w="329" w:type="pct"/>
            <w:vMerge w:val="continue"/>
            <w:tcBorders>
              <w:left w:val="single" w:color="auto" w:sz="4" w:space="0"/>
              <w:right w:val="single" w:color="auto" w:sz="4" w:space="0"/>
            </w:tcBorders>
            <w:shd w:val="clear" w:color="auto" w:fill="auto"/>
            <w:vAlign w:val="center"/>
          </w:tcPr>
          <w:p w14:paraId="59D69F9C">
            <w:pPr>
              <w:spacing w:line="0" w:lineRule="atLeast"/>
              <w:jc w:val="center"/>
              <w:rPr>
                <w:rFonts w:hint="eastAsia" w:ascii="宋体" w:hAnsi="宋体" w:eastAsia="宋体" w:cs="宋体"/>
                <w:lang w:val="en-US" w:eastAsia="zh-CN"/>
              </w:rPr>
            </w:pPr>
          </w:p>
        </w:tc>
        <w:tc>
          <w:tcPr>
            <w:tcW w:w="2573" w:type="pct"/>
            <w:tcBorders>
              <w:top w:val="nil"/>
              <w:left w:val="nil"/>
              <w:bottom w:val="single" w:color="auto" w:sz="4" w:space="0"/>
              <w:right w:val="single" w:color="auto" w:sz="4" w:space="0"/>
            </w:tcBorders>
            <w:shd w:val="clear" w:color="auto" w:fill="FEF2CB" w:themeFill="accent3" w:themeFillTint="32"/>
            <w:vAlign w:val="center"/>
          </w:tcPr>
          <w:p w14:paraId="513A0B76">
            <w:pPr>
              <w:spacing w:line="0" w:lineRule="atLeast"/>
              <w:jc w:val="both"/>
              <w:rPr>
                <w:rFonts w:hint="default" w:ascii="宋体" w:hAnsi="宋体" w:eastAsia="宋体" w:cs="宋体"/>
                <w:kern w:val="2"/>
                <w:sz w:val="21"/>
                <w:szCs w:val="22"/>
                <w:lang w:val="en-US" w:eastAsia="zh-CN" w:bidi="ar-SA"/>
              </w:rPr>
            </w:pPr>
            <w:r>
              <w:rPr>
                <w:rFonts w:hint="eastAsia" w:ascii="宋体" w:hAnsi="宋体" w:eastAsia="宋体" w:cs="宋体"/>
                <w:lang w:val="en-US" w:eastAsia="zh-CN"/>
              </w:rPr>
              <w:t>【可选4】毕业设计（论文）指导教师中副高级职称以上教师占比</w:t>
            </w:r>
          </w:p>
        </w:tc>
        <w:tc>
          <w:tcPr>
            <w:tcW w:w="404" w:type="pct"/>
            <w:tcBorders>
              <w:top w:val="nil"/>
              <w:left w:val="nil"/>
              <w:bottom w:val="single" w:color="auto" w:sz="4" w:space="0"/>
              <w:right w:val="single" w:color="auto" w:sz="4" w:space="0"/>
            </w:tcBorders>
            <w:shd w:val="clear" w:color="auto" w:fill="FEF2CB" w:themeFill="accent3" w:themeFillTint="32"/>
            <w:vAlign w:val="center"/>
          </w:tcPr>
          <w:p w14:paraId="1581CD65">
            <w:pPr>
              <w:spacing w:line="0" w:lineRule="atLeast"/>
              <w:jc w:val="center"/>
              <w:rPr>
                <w:rFonts w:hint="eastAsia" w:ascii="宋体" w:hAnsi="宋体" w:eastAsia="宋体" w:cs="宋体"/>
                <w:kern w:val="2"/>
                <w:sz w:val="21"/>
                <w:szCs w:val="22"/>
                <w:lang w:val="en-US" w:eastAsia="zh-CN" w:bidi="ar-SA"/>
              </w:rPr>
            </w:pPr>
            <w:r>
              <w:rPr>
                <w:rFonts w:hint="eastAsia" w:ascii="宋体" w:hAnsi="宋体" w:eastAsia="宋体" w:cs="宋体"/>
                <w:lang w:val="en-US" w:eastAsia="zh-CN"/>
              </w:rPr>
              <w:t>——</w:t>
            </w:r>
          </w:p>
        </w:tc>
        <w:tc>
          <w:tcPr>
            <w:tcW w:w="468" w:type="pct"/>
            <w:tcBorders>
              <w:top w:val="nil"/>
              <w:left w:val="nil"/>
              <w:bottom w:val="single" w:color="auto" w:sz="4" w:space="0"/>
              <w:right w:val="single" w:color="auto" w:sz="4" w:space="0"/>
            </w:tcBorders>
            <w:shd w:val="clear" w:color="auto" w:fill="FEF2CB" w:themeFill="accent3" w:themeFillTint="32"/>
            <w:vAlign w:val="center"/>
          </w:tcPr>
          <w:p w14:paraId="5C819592">
            <w:pPr>
              <w:spacing w:line="0" w:lineRule="atLeast"/>
              <w:jc w:val="center"/>
              <w:rPr>
                <w:rFonts w:hint="eastAsia" w:ascii="宋体" w:hAnsi="宋体" w:eastAsia="宋体" w:cs="宋体"/>
                <w:kern w:val="2"/>
                <w:sz w:val="21"/>
                <w:szCs w:val="22"/>
                <w:lang w:val="en-US" w:eastAsia="zh-CN" w:bidi="ar-SA"/>
              </w:rPr>
            </w:pPr>
            <w:r>
              <w:rPr>
                <w:rFonts w:hint="eastAsia" w:ascii="宋体" w:hAnsi="宋体" w:eastAsia="宋体" w:cs="宋体"/>
                <w:lang w:val="en-US" w:eastAsia="zh-CN"/>
              </w:rPr>
              <w:t>——</w:t>
            </w:r>
          </w:p>
        </w:tc>
        <w:tc>
          <w:tcPr>
            <w:tcW w:w="414" w:type="pct"/>
            <w:tcBorders>
              <w:top w:val="nil"/>
              <w:left w:val="nil"/>
              <w:bottom w:val="single" w:color="auto" w:sz="4" w:space="0"/>
              <w:right w:val="single" w:color="auto" w:sz="4" w:space="0"/>
            </w:tcBorders>
            <w:shd w:val="clear" w:color="auto" w:fill="FEF2CB" w:themeFill="accent3" w:themeFillTint="32"/>
            <w:vAlign w:val="center"/>
          </w:tcPr>
          <w:p w14:paraId="6EEF7FB0">
            <w:pPr>
              <w:spacing w:line="0" w:lineRule="atLeast"/>
              <w:jc w:val="center"/>
              <w:rPr>
                <w:rFonts w:hint="eastAsia" w:ascii="宋体" w:hAnsi="宋体" w:eastAsia="宋体" w:cs="宋体"/>
                <w:kern w:val="2"/>
                <w:sz w:val="21"/>
                <w:szCs w:val="22"/>
                <w:lang w:val="en-US" w:eastAsia="zh-CN" w:bidi="ar-SA"/>
              </w:rPr>
            </w:pPr>
            <w:r>
              <w:rPr>
                <w:rFonts w:hint="eastAsia" w:ascii="宋体" w:hAnsi="宋体" w:eastAsia="宋体" w:cs="宋体"/>
                <w:lang w:val="en-US" w:eastAsia="zh-CN"/>
              </w:rPr>
              <w:t>——</w:t>
            </w:r>
          </w:p>
        </w:tc>
        <w:tc>
          <w:tcPr>
            <w:tcW w:w="484" w:type="pct"/>
            <w:tcBorders>
              <w:top w:val="nil"/>
              <w:left w:val="nil"/>
              <w:bottom w:val="single" w:color="auto" w:sz="4" w:space="0"/>
              <w:right w:val="single" w:color="auto" w:sz="4" w:space="0"/>
            </w:tcBorders>
            <w:shd w:val="clear" w:color="auto" w:fill="FEF2CB" w:themeFill="accent3" w:themeFillTint="32"/>
            <w:vAlign w:val="center"/>
          </w:tcPr>
          <w:p w14:paraId="4056A921">
            <w:pPr>
              <w:spacing w:line="0" w:lineRule="atLeast"/>
              <w:jc w:val="center"/>
              <w:rPr>
                <w:rFonts w:hint="eastAsia" w:ascii="宋体" w:hAnsi="宋体" w:eastAsia="宋体" w:cs="宋体"/>
                <w:kern w:val="2"/>
                <w:sz w:val="21"/>
                <w:szCs w:val="22"/>
                <w:lang w:val="en-US" w:eastAsia="zh-CN" w:bidi="ar-SA"/>
              </w:rPr>
            </w:pPr>
            <w:r>
              <w:rPr>
                <w:rFonts w:hint="eastAsia" w:ascii="宋体" w:hAnsi="宋体" w:eastAsia="宋体" w:cs="宋体"/>
                <w:lang w:val="en-US" w:eastAsia="zh-CN"/>
              </w:rPr>
              <w:t>——</w:t>
            </w:r>
          </w:p>
        </w:tc>
      </w:tr>
      <w:tr w14:paraId="792345D7">
        <w:tblPrEx>
          <w:tblCellMar>
            <w:top w:w="0" w:type="dxa"/>
            <w:left w:w="108" w:type="dxa"/>
            <w:bottom w:w="0" w:type="dxa"/>
            <w:right w:w="108" w:type="dxa"/>
          </w:tblCellMar>
        </w:tblPrEx>
        <w:trPr>
          <w:trHeight w:val="1556" w:hRule="atLeast"/>
        </w:trPr>
        <w:tc>
          <w:tcPr>
            <w:tcW w:w="325" w:type="pct"/>
            <w:vMerge w:val="continue"/>
            <w:tcBorders>
              <w:left w:val="single" w:color="auto" w:sz="4" w:space="0"/>
              <w:right w:val="single" w:color="auto" w:sz="4" w:space="0"/>
            </w:tcBorders>
            <w:vAlign w:val="center"/>
          </w:tcPr>
          <w:p w14:paraId="5B01708F">
            <w:pPr>
              <w:spacing w:line="0" w:lineRule="atLeast"/>
              <w:jc w:val="center"/>
              <w:rPr>
                <w:rFonts w:hint="eastAsia" w:ascii="宋体" w:hAnsi="宋体" w:eastAsia="宋体" w:cs="宋体"/>
                <w:lang w:val="en-US" w:eastAsia="zh-CN"/>
              </w:rPr>
            </w:pPr>
          </w:p>
        </w:tc>
        <w:tc>
          <w:tcPr>
            <w:tcW w:w="329" w:type="pct"/>
            <w:vMerge w:val="continue"/>
            <w:tcBorders>
              <w:left w:val="single" w:color="auto" w:sz="4" w:space="0"/>
              <w:bottom w:val="single" w:color="auto" w:sz="4" w:space="0"/>
              <w:right w:val="single" w:color="auto" w:sz="4" w:space="0"/>
            </w:tcBorders>
            <w:shd w:val="clear" w:color="auto" w:fill="auto"/>
            <w:vAlign w:val="center"/>
          </w:tcPr>
          <w:p w14:paraId="31470229">
            <w:pPr>
              <w:spacing w:line="0" w:lineRule="atLeast"/>
              <w:jc w:val="center"/>
              <w:rPr>
                <w:rFonts w:hint="eastAsia" w:ascii="宋体" w:hAnsi="宋体" w:eastAsia="宋体" w:cs="宋体"/>
                <w:lang w:val="en-US" w:eastAsia="zh-CN"/>
              </w:rPr>
            </w:pPr>
          </w:p>
        </w:tc>
        <w:tc>
          <w:tcPr>
            <w:tcW w:w="4345" w:type="pct"/>
            <w:gridSpan w:val="5"/>
            <w:tcBorders>
              <w:top w:val="nil"/>
              <w:left w:val="nil"/>
              <w:bottom w:val="single" w:color="auto" w:sz="4" w:space="0"/>
              <w:right w:val="single" w:color="auto" w:sz="4" w:space="0"/>
            </w:tcBorders>
            <w:shd w:val="clear" w:color="auto" w:fill="auto"/>
            <w:vAlign w:val="top"/>
          </w:tcPr>
          <w:p w14:paraId="29FC54D4">
            <w:pPr>
              <w:spacing w:line="0" w:lineRule="atLeast"/>
              <w:jc w:val="both"/>
              <w:rPr>
                <w:rFonts w:hint="eastAsia"/>
                <w:lang w:val="en-US" w:eastAsia="zh-CN"/>
              </w:rPr>
            </w:pPr>
            <w:r>
              <w:rPr>
                <w:rFonts w:hint="eastAsia"/>
                <w:lang w:val="en-US" w:eastAsia="zh-CN"/>
              </w:rPr>
              <w:t>该项指标是否建议选择（）</w:t>
            </w:r>
          </w:p>
          <w:p w14:paraId="48968AF3">
            <w:pPr>
              <w:spacing w:line="0" w:lineRule="atLeast"/>
              <w:jc w:val="both"/>
              <w:rPr>
                <w:rFonts w:hint="default"/>
                <w:lang w:val="en-US" w:eastAsia="zh-CN"/>
              </w:rPr>
            </w:pPr>
            <w:r>
              <w:rPr>
                <w:rFonts w:hint="eastAsia"/>
                <w:lang w:val="en-US" w:eastAsia="zh-CN"/>
              </w:rPr>
              <w:t>论证理由：</w:t>
            </w:r>
          </w:p>
          <w:p w14:paraId="54B86775">
            <w:pPr>
              <w:spacing w:line="0" w:lineRule="atLeast"/>
              <w:jc w:val="both"/>
              <w:rPr>
                <w:rFonts w:hint="eastAsia" w:ascii="宋体" w:hAnsi="宋体" w:eastAsia="宋体" w:cs="宋体"/>
                <w:lang w:val="en-US" w:eastAsia="zh-CN"/>
              </w:rPr>
            </w:pPr>
          </w:p>
        </w:tc>
      </w:tr>
      <w:tr w14:paraId="06838EBD">
        <w:tblPrEx>
          <w:tblCellMar>
            <w:top w:w="0" w:type="dxa"/>
            <w:left w:w="108" w:type="dxa"/>
            <w:bottom w:w="0" w:type="dxa"/>
            <w:right w:w="108" w:type="dxa"/>
          </w:tblCellMar>
        </w:tblPrEx>
        <w:trPr>
          <w:trHeight w:val="389" w:hRule="atLeast"/>
        </w:trPr>
        <w:tc>
          <w:tcPr>
            <w:tcW w:w="325" w:type="pct"/>
            <w:vMerge w:val="continue"/>
            <w:tcBorders>
              <w:left w:val="single" w:color="auto" w:sz="4" w:space="0"/>
              <w:right w:val="single" w:color="auto" w:sz="4" w:space="0"/>
            </w:tcBorders>
            <w:vAlign w:val="center"/>
          </w:tcPr>
          <w:p w14:paraId="1EFA20F9">
            <w:pPr>
              <w:spacing w:line="0" w:lineRule="atLeast"/>
              <w:jc w:val="center"/>
              <w:rPr>
                <w:rFonts w:hint="eastAsia" w:ascii="宋体" w:hAnsi="宋体" w:eastAsia="宋体" w:cs="宋体"/>
                <w:lang w:val="en-US" w:eastAsia="zh-CN"/>
              </w:rPr>
            </w:pPr>
          </w:p>
        </w:tc>
        <w:tc>
          <w:tcPr>
            <w:tcW w:w="329" w:type="pct"/>
            <w:vMerge w:val="restart"/>
            <w:tcBorders>
              <w:top w:val="single" w:color="auto" w:sz="4" w:space="0"/>
              <w:left w:val="single" w:color="auto" w:sz="4" w:space="0"/>
              <w:right w:val="single" w:color="auto" w:sz="4" w:space="0"/>
            </w:tcBorders>
            <w:shd w:val="clear" w:color="auto" w:fill="auto"/>
            <w:vAlign w:val="center"/>
          </w:tcPr>
          <w:p w14:paraId="317F6D85">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K 2.5卓越培养</w:t>
            </w:r>
          </w:p>
        </w:tc>
        <w:tc>
          <w:tcPr>
            <w:tcW w:w="2573"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1EFC20F4">
            <w:pPr>
              <w:spacing w:line="0" w:lineRule="atLeast"/>
              <w:jc w:val="both"/>
              <w:rPr>
                <w:rFonts w:hint="eastAsia" w:ascii="宋体" w:hAnsi="宋体" w:eastAsia="宋体" w:cs="宋体"/>
                <w:lang w:val="en-US" w:eastAsia="zh-CN"/>
              </w:rPr>
            </w:pPr>
            <w:r>
              <w:rPr>
                <w:rFonts w:hint="eastAsia" w:ascii="宋体" w:hAnsi="宋体" w:eastAsia="宋体" w:cs="宋体"/>
                <w:lang w:val="en-US" w:eastAsia="zh-CN"/>
              </w:rPr>
              <w:t>【可选6】产学合作协同育人项目数</w:t>
            </w:r>
          </w:p>
        </w:tc>
        <w:tc>
          <w:tcPr>
            <w:tcW w:w="40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7629E629">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125</w:t>
            </w:r>
          </w:p>
        </w:tc>
        <w:tc>
          <w:tcPr>
            <w:tcW w:w="468"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38EF7CF9">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22.15</w:t>
            </w:r>
          </w:p>
        </w:tc>
        <w:tc>
          <w:tcPr>
            <w:tcW w:w="41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18BDE1BD">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14.77</w:t>
            </w:r>
          </w:p>
        </w:tc>
        <w:tc>
          <w:tcPr>
            <w:tcW w:w="48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568E8CBC">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15.38</w:t>
            </w:r>
          </w:p>
        </w:tc>
      </w:tr>
      <w:tr w14:paraId="1F58A387">
        <w:tblPrEx>
          <w:tblCellMar>
            <w:top w:w="0" w:type="dxa"/>
            <w:left w:w="108" w:type="dxa"/>
            <w:bottom w:w="0" w:type="dxa"/>
            <w:right w:w="108" w:type="dxa"/>
          </w:tblCellMar>
        </w:tblPrEx>
        <w:trPr>
          <w:trHeight w:val="1399" w:hRule="atLeast"/>
        </w:trPr>
        <w:tc>
          <w:tcPr>
            <w:tcW w:w="325" w:type="pct"/>
            <w:vMerge w:val="continue"/>
            <w:tcBorders>
              <w:left w:val="single" w:color="auto" w:sz="4" w:space="0"/>
              <w:right w:val="single" w:color="auto" w:sz="4" w:space="0"/>
            </w:tcBorders>
            <w:vAlign w:val="center"/>
          </w:tcPr>
          <w:p w14:paraId="73713E5E">
            <w:pPr>
              <w:spacing w:line="0" w:lineRule="atLeast"/>
              <w:jc w:val="center"/>
              <w:rPr>
                <w:rFonts w:hint="eastAsia" w:ascii="宋体" w:hAnsi="宋体" w:eastAsia="宋体" w:cs="宋体"/>
                <w:lang w:val="en-US" w:eastAsia="zh-CN"/>
              </w:rPr>
            </w:pPr>
          </w:p>
        </w:tc>
        <w:tc>
          <w:tcPr>
            <w:tcW w:w="329" w:type="pct"/>
            <w:vMerge w:val="continue"/>
            <w:tcBorders>
              <w:left w:val="single" w:color="auto" w:sz="4" w:space="0"/>
              <w:right w:val="single" w:color="auto" w:sz="4" w:space="0"/>
            </w:tcBorders>
            <w:shd w:val="clear" w:color="auto" w:fill="auto"/>
            <w:vAlign w:val="center"/>
          </w:tcPr>
          <w:p w14:paraId="33CE46DA">
            <w:pPr>
              <w:spacing w:line="0" w:lineRule="atLeast"/>
              <w:jc w:val="center"/>
              <w:rPr>
                <w:rFonts w:hint="eastAsia" w:ascii="宋体" w:hAnsi="宋体" w:eastAsia="宋体" w:cs="宋体"/>
                <w:lang w:val="en-US" w:eastAsia="zh-CN"/>
              </w:rPr>
            </w:pPr>
          </w:p>
        </w:tc>
        <w:tc>
          <w:tcPr>
            <w:tcW w:w="4345" w:type="pct"/>
            <w:gridSpan w:val="5"/>
            <w:tcBorders>
              <w:top w:val="nil"/>
              <w:left w:val="nil"/>
              <w:bottom w:val="single" w:color="auto" w:sz="4" w:space="0"/>
              <w:right w:val="single" w:color="auto" w:sz="4" w:space="0"/>
            </w:tcBorders>
            <w:shd w:val="clear" w:color="auto" w:fill="auto"/>
            <w:vAlign w:val="top"/>
          </w:tcPr>
          <w:p w14:paraId="6BA2DD46">
            <w:pPr>
              <w:spacing w:line="0" w:lineRule="atLeast"/>
              <w:jc w:val="both"/>
              <w:rPr>
                <w:rFonts w:hint="eastAsia"/>
                <w:lang w:val="en-US" w:eastAsia="zh-CN"/>
              </w:rPr>
            </w:pPr>
            <w:r>
              <w:rPr>
                <w:rFonts w:hint="eastAsia"/>
                <w:lang w:val="en-US" w:eastAsia="zh-CN"/>
              </w:rPr>
              <w:t>该项指标是否建议选择（）</w:t>
            </w:r>
          </w:p>
          <w:p w14:paraId="3C78D00C">
            <w:pPr>
              <w:spacing w:line="0" w:lineRule="atLeast"/>
              <w:jc w:val="both"/>
              <w:rPr>
                <w:rFonts w:hint="default"/>
                <w:lang w:val="en-US" w:eastAsia="zh-CN"/>
              </w:rPr>
            </w:pPr>
            <w:r>
              <w:rPr>
                <w:rFonts w:hint="eastAsia"/>
                <w:lang w:val="en-US" w:eastAsia="zh-CN"/>
              </w:rPr>
              <w:t>论证理由：</w:t>
            </w:r>
          </w:p>
          <w:p w14:paraId="5FE249C5">
            <w:pPr>
              <w:spacing w:line="0" w:lineRule="atLeast"/>
              <w:jc w:val="both"/>
              <w:rPr>
                <w:rFonts w:hint="eastAsia" w:ascii="宋体" w:hAnsi="宋体" w:eastAsia="宋体" w:cs="宋体"/>
                <w:lang w:val="en-US" w:eastAsia="zh-CN"/>
              </w:rPr>
            </w:pPr>
          </w:p>
        </w:tc>
      </w:tr>
      <w:tr w14:paraId="33173D34">
        <w:tblPrEx>
          <w:tblCellMar>
            <w:top w:w="0" w:type="dxa"/>
            <w:left w:w="108" w:type="dxa"/>
            <w:bottom w:w="0" w:type="dxa"/>
            <w:right w:w="108" w:type="dxa"/>
          </w:tblCellMar>
        </w:tblPrEx>
        <w:trPr>
          <w:trHeight w:val="352" w:hRule="atLeast"/>
        </w:trPr>
        <w:tc>
          <w:tcPr>
            <w:tcW w:w="325" w:type="pct"/>
            <w:vMerge w:val="continue"/>
            <w:tcBorders>
              <w:left w:val="single" w:color="auto" w:sz="4" w:space="0"/>
              <w:right w:val="single" w:color="auto" w:sz="4" w:space="0"/>
            </w:tcBorders>
            <w:vAlign w:val="center"/>
          </w:tcPr>
          <w:p w14:paraId="28113FD5">
            <w:pPr>
              <w:spacing w:line="0" w:lineRule="atLeast"/>
              <w:jc w:val="center"/>
              <w:rPr>
                <w:rFonts w:hint="eastAsia" w:ascii="宋体" w:hAnsi="宋体" w:eastAsia="宋体" w:cs="宋体"/>
                <w:lang w:val="en-US" w:eastAsia="zh-CN"/>
              </w:rPr>
            </w:pPr>
          </w:p>
        </w:tc>
        <w:tc>
          <w:tcPr>
            <w:tcW w:w="329" w:type="pct"/>
            <w:vMerge w:val="continue"/>
            <w:tcBorders>
              <w:left w:val="single" w:color="auto" w:sz="4" w:space="0"/>
              <w:right w:val="single" w:color="auto" w:sz="4" w:space="0"/>
            </w:tcBorders>
            <w:shd w:val="clear" w:color="auto" w:fill="auto"/>
            <w:vAlign w:val="center"/>
          </w:tcPr>
          <w:p w14:paraId="097F06B4">
            <w:pPr>
              <w:spacing w:line="0" w:lineRule="atLeast"/>
              <w:jc w:val="center"/>
              <w:rPr>
                <w:rFonts w:hint="eastAsia" w:ascii="宋体" w:hAnsi="宋体" w:eastAsia="宋体" w:cs="宋体"/>
                <w:lang w:val="en-US" w:eastAsia="zh-CN"/>
              </w:rPr>
            </w:pPr>
          </w:p>
        </w:tc>
        <w:tc>
          <w:tcPr>
            <w:tcW w:w="2573" w:type="pct"/>
            <w:tcBorders>
              <w:top w:val="nil"/>
              <w:left w:val="nil"/>
              <w:bottom w:val="single" w:color="auto" w:sz="4" w:space="0"/>
              <w:right w:val="single" w:color="auto" w:sz="4" w:space="0"/>
            </w:tcBorders>
            <w:shd w:val="clear" w:color="auto" w:fill="FEF2CB" w:themeFill="accent3" w:themeFillTint="32"/>
            <w:vAlign w:val="center"/>
          </w:tcPr>
          <w:p w14:paraId="35DD0184">
            <w:pPr>
              <w:spacing w:line="0" w:lineRule="atLeast"/>
              <w:jc w:val="both"/>
              <w:rPr>
                <w:rFonts w:hint="eastAsia" w:ascii="宋体" w:hAnsi="宋体" w:eastAsia="宋体" w:cs="宋体"/>
                <w:lang w:val="en-US" w:eastAsia="zh-CN"/>
              </w:rPr>
            </w:pPr>
            <w:r>
              <w:rPr>
                <w:rFonts w:hint="eastAsia" w:ascii="宋体" w:hAnsi="宋体" w:eastAsia="宋体" w:cs="宋体"/>
                <w:lang w:val="en-US" w:eastAsia="zh-CN"/>
              </w:rPr>
              <w:t>【可选7】现代产业学院覆盖的专业数及其培养的学生数</w:t>
            </w:r>
          </w:p>
        </w:tc>
        <w:tc>
          <w:tcPr>
            <w:tcW w:w="404" w:type="pct"/>
            <w:tcBorders>
              <w:top w:val="nil"/>
              <w:left w:val="nil"/>
              <w:bottom w:val="single" w:color="auto" w:sz="4" w:space="0"/>
              <w:right w:val="single" w:color="auto" w:sz="4" w:space="0"/>
            </w:tcBorders>
            <w:shd w:val="clear" w:color="auto" w:fill="FEF2CB" w:themeFill="accent3" w:themeFillTint="32"/>
            <w:vAlign w:val="center"/>
          </w:tcPr>
          <w:p w14:paraId="607CB4AC">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p w14:paraId="2A659744">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605</w:t>
            </w:r>
          </w:p>
        </w:tc>
        <w:tc>
          <w:tcPr>
            <w:tcW w:w="468"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668D01D8">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41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147016B1">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48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3E9E42B8">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w:t>
            </w:r>
          </w:p>
        </w:tc>
      </w:tr>
      <w:tr w14:paraId="69FF8772">
        <w:tblPrEx>
          <w:tblCellMar>
            <w:top w:w="0" w:type="dxa"/>
            <w:left w:w="108" w:type="dxa"/>
            <w:bottom w:w="0" w:type="dxa"/>
            <w:right w:w="108" w:type="dxa"/>
          </w:tblCellMar>
        </w:tblPrEx>
        <w:trPr>
          <w:trHeight w:val="1782" w:hRule="atLeast"/>
        </w:trPr>
        <w:tc>
          <w:tcPr>
            <w:tcW w:w="325" w:type="pct"/>
            <w:vMerge w:val="continue"/>
            <w:tcBorders>
              <w:left w:val="single" w:color="auto" w:sz="4" w:space="0"/>
              <w:right w:val="single" w:color="auto" w:sz="4" w:space="0"/>
            </w:tcBorders>
            <w:vAlign w:val="center"/>
          </w:tcPr>
          <w:p w14:paraId="31977889">
            <w:pPr>
              <w:spacing w:line="0" w:lineRule="atLeast"/>
              <w:jc w:val="center"/>
              <w:rPr>
                <w:rFonts w:hint="eastAsia" w:ascii="宋体" w:hAnsi="宋体" w:eastAsia="宋体" w:cs="宋体"/>
                <w:lang w:val="en-US" w:eastAsia="zh-CN"/>
              </w:rPr>
            </w:pPr>
          </w:p>
        </w:tc>
        <w:tc>
          <w:tcPr>
            <w:tcW w:w="329" w:type="pct"/>
            <w:vMerge w:val="continue"/>
            <w:tcBorders>
              <w:left w:val="single" w:color="auto" w:sz="4" w:space="0"/>
              <w:right w:val="single" w:color="auto" w:sz="4" w:space="0"/>
            </w:tcBorders>
            <w:shd w:val="clear" w:color="auto" w:fill="auto"/>
            <w:vAlign w:val="center"/>
          </w:tcPr>
          <w:p w14:paraId="6B07B19E">
            <w:pPr>
              <w:spacing w:line="0" w:lineRule="atLeast"/>
              <w:jc w:val="center"/>
              <w:rPr>
                <w:rFonts w:hint="eastAsia" w:ascii="宋体" w:hAnsi="宋体" w:eastAsia="宋体" w:cs="宋体"/>
                <w:lang w:val="en-US" w:eastAsia="zh-CN"/>
              </w:rPr>
            </w:pPr>
          </w:p>
        </w:tc>
        <w:tc>
          <w:tcPr>
            <w:tcW w:w="4345" w:type="pct"/>
            <w:gridSpan w:val="5"/>
            <w:tcBorders>
              <w:top w:val="nil"/>
              <w:left w:val="nil"/>
              <w:bottom w:val="single" w:color="auto" w:sz="4" w:space="0"/>
              <w:right w:val="single" w:color="auto" w:sz="4" w:space="0"/>
            </w:tcBorders>
            <w:shd w:val="clear" w:color="auto" w:fill="auto"/>
            <w:vAlign w:val="top"/>
          </w:tcPr>
          <w:p w14:paraId="5FE4D799">
            <w:pPr>
              <w:spacing w:line="0" w:lineRule="atLeast"/>
              <w:jc w:val="both"/>
              <w:rPr>
                <w:rFonts w:hint="eastAsia"/>
                <w:lang w:val="en-US" w:eastAsia="zh-CN"/>
              </w:rPr>
            </w:pPr>
            <w:r>
              <w:rPr>
                <w:rFonts w:hint="eastAsia"/>
                <w:lang w:val="en-US" w:eastAsia="zh-CN"/>
              </w:rPr>
              <w:t>该项指标是否建议选择（）</w:t>
            </w:r>
          </w:p>
          <w:p w14:paraId="1569595A">
            <w:pPr>
              <w:spacing w:line="0" w:lineRule="atLeast"/>
              <w:jc w:val="both"/>
              <w:rPr>
                <w:rFonts w:hint="default"/>
                <w:lang w:val="en-US" w:eastAsia="zh-CN"/>
              </w:rPr>
            </w:pPr>
            <w:r>
              <w:rPr>
                <w:rFonts w:hint="eastAsia"/>
                <w:lang w:val="en-US" w:eastAsia="zh-CN"/>
              </w:rPr>
              <w:t>论证理由：</w:t>
            </w:r>
          </w:p>
          <w:p w14:paraId="364C0B2B">
            <w:pPr>
              <w:spacing w:line="0" w:lineRule="atLeast"/>
              <w:jc w:val="both"/>
              <w:rPr>
                <w:rFonts w:hint="eastAsia" w:ascii="宋体" w:hAnsi="宋体" w:eastAsia="宋体" w:cs="宋体"/>
                <w:lang w:val="en-US" w:eastAsia="zh-CN"/>
              </w:rPr>
            </w:pPr>
          </w:p>
        </w:tc>
      </w:tr>
      <w:tr w14:paraId="08A9F34F">
        <w:tblPrEx>
          <w:tblCellMar>
            <w:top w:w="0" w:type="dxa"/>
            <w:left w:w="108" w:type="dxa"/>
            <w:bottom w:w="0" w:type="dxa"/>
            <w:right w:w="108" w:type="dxa"/>
          </w:tblCellMar>
        </w:tblPrEx>
        <w:trPr>
          <w:trHeight w:val="417" w:hRule="atLeast"/>
        </w:trPr>
        <w:tc>
          <w:tcPr>
            <w:tcW w:w="325" w:type="pct"/>
            <w:vMerge w:val="continue"/>
            <w:tcBorders>
              <w:left w:val="single" w:color="auto" w:sz="4" w:space="0"/>
              <w:right w:val="single" w:color="auto" w:sz="4" w:space="0"/>
            </w:tcBorders>
            <w:vAlign w:val="center"/>
          </w:tcPr>
          <w:p w14:paraId="462CBBCF">
            <w:pPr>
              <w:spacing w:line="0" w:lineRule="atLeast"/>
              <w:jc w:val="center"/>
              <w:rPr>
                <w:rFonts w:hint="eastAsia" w:ascii="宋体" w:hAnsi="宋体" w:eastAsia="宋体" w:cs="宋体"/>
                <w:lang w:val="en-US" w:eastAsia="zh-CN"/>
              </w:rPr>
            </w:pPr>
          </w:p>
        </w:tc>
        <w:tc>
          <w:tcPr>
            <w:tcW w:w="329" w:type="pct"/>
            <w:vMerge w:val="continue"/>
            <w:tcBorders>
              <w:left w:val="single" w:color="auto" w:sz="4" w:space="0"/>
              <w:right w:val="single" w:color="auto" w:sz="4" w:space="0"/>
            </w:tcBorders>
            <w:vAlign w:val="center"/>
          </w:tcPr>
          <w:p w14:paraId="1825C2C0">
            <w:pPr>
              <w:spacing w:line="0" w:lineRule="atLeast"/>
              <w:jc w:val="center"/>
              <w:rPr>
                <w:rFonts w:hint="eastAsia" w:ascii="宋体" w:hAnsi="宋体" w:eastAsia="宋体" w:cs="宋体"/>
                <w:lang w:val="en-US" w:eastAsia="zh-CN"/>
              </w:rPr>
            </w:pPr>
          </w:p>
        </w:tc>
        <w:tc>
          <w:tcPr>
            <w:tcW w:w="2573" w:type="pct"/>
            <w:tcBorders>
              <w:top w:val="nil"/>
              <w:left w:val="nil"/>
              <w:bottom w:val="single" w:color="auto" w:sz="4" w:space="0"/>
              <w:right w:val="single" w:color="auto" w:sz="4" w:space="0"/>
            </w:tcBorders>
            <w:shd w:val="clear" w:color="auto" w:fill="FEF2CB" w:themeFill="accent3" w:themeFillTint="32"/>
            <w:vAlign w:val="center"/>
          </w:tcPr>
          <w:p w14:paraId="34893D02">
            <w:pPr>
              <w:spacing w:line="0" w:lineRule="atLeast"/>
              <w:jc w:val="both"/>
              <w:rPr>
                <w:rFonts w:hint="eastAsia" w:ascii="宋体" w:hAnsi="宋体" w:eastAsia="宋体" w:cs="宋体"/>
                <w:lang w:val="en-US" w:eastAsia="zh-CN"/>
              </w:rPr>
            </w:pPr>
            <w:r>
              <w:rPr>
                <w:rFonts w:hint="eastAsia" w:ascii="宋体" w:hAnsi="宋体" w:eastAsia="宋体" w:cs="宋体"/>
                <w:lang w:val="en-US" w:eastAsia="zh-CN"/>
              </w:rPr>
              <w:t>【可选8】与行业企业共建、共同讲授的课程数</w:t>
            </w:r>
          </w:p>
        </w:tc>
        <w:tc>
          <w:tcPr>
            <w:tcW w:w="404" w:type="pct"/>
            <w:tcBorders>
              <w:top w:val="nil"/>
              <w:left w:val="nil"/>
              <w:bottom w:val="single" w:color="auto" w:sz="4" w:space="0"/>
              <w:right w:val="single" w:color="auto" w:sz="4" w:space="0"/>
            </w:tcBorders>
            <w:shd w:val="clear" w:color="auto" w:fill="FEF2CB" w:themeFill="accent3" w:themeFillTint="32"/>
            <w:vAlign w:val="center"/>
          </w:tcPr>
          <w:p w14:paraId="76A1C9F9">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11.77</w:t>
            </w:r>
          </w:p>
        </w:tc>
        <w:tc>
          <w:tcPr>
            <w:tcW w:w="468"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46C01DAA">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11.8</w:t>
            </w:r>
          </w:p>
        </w:tc>
        <w:tc>
          <w:tcPr>
            <w:tcW w:w="41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0334D6E4">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6.59</w:t>
            </w:r>
          </w:p>
        </w:tc>
        <w:tc>
          <w:tcPr>
            <w:tcW w:w="48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10AE1D6F">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5.84</w:t>
            </w:r>
          </w:p>
        </w:tc>
      </w:tr>
      <w:tr w14:paraId="2B477C64">
        <w:tblPrEx>
          <w:tblCellMar>
            <w:top w:w="0" w:type="dxa"/>
            <w:left w:w="108" w:type="dxa"/>
            <w:bottom w:w="0" w:type="dxa"/>
            <w:right w:w="108" w:type="dxa"/>
          </w:tblCellMar>
        </w:tblPrEx>
        <w:trPr>
          <w:trHeight w:val="2027" w:hRule="atLeast"/>
        </w:trPr>
        <w:tc>
          <w:tcPr>
            <w:tcW w:w="325" w:type="pct"/>
            <w:vMerge w:val="continue"/>
            <w:tcBorders>
              <w:left w:val="single" w:color="auto" w:sz="4" w:space="0"/>
              <w:bottom w:val="single" w:color="auto" w:sz="4" w:space="0"/>
              <w:right w:val="single" w:color="auto" w:sz="4" w:space="0"/>
            </w:tcBorders>
            <w:vAlign w:val="center"/>
          </w:tcPr>
          <w:p w14:paraId="5BF0CAA1">
            <w:pPr>
              <w:spacing w:line="0" w:lineRule="atLeast"/>
              <w:jc w:val="center"/>
              <w:rPr>
                <w:rFonts w:hint="eastAsia" w:ascii="宋体" w:hAnsi="宋体" w:eastAsia="宋体" w:cs="宋体"/>
                <w:lang w:val="en-US" w:eastAsia="zh-CN"/>
              </w:rPr>
            </w:pPr>
          </w:p>
        </w:tc>
        <w:tc>
          <w:tcPr>
            <w:tcW w:w="329" w:type="pct"/>
            <w:vMerge w:val="continue"/>
            <w:tcBorders>
              <w:left w:val="single" w:color="auto" w:sz="4" w:space="0"/>
              <w:bottom w:val="single" w:color="auto" w:sz="4" w:space="0"/>
              <w:right w:val="single" w:color="auto" w:sz="4" w:space="0"/>
            </w:tcBorders>
            <w:vAlign w:val="center"/>
          </w:tcPr>
          <w:p w14:paraId="2F0BE064">
            <w:pPr>
              <w:spacing w:line="0" w:lineRule="atLeast"/>
              <w:jc w:val="center"/>
              <w:rPr>
                <w:rFonts w:hint="eastAsia" w:ascii="宋体" w:hAnsi="宋体" w:eastAsia="宋体" w:cs="宋体"/>
                <w:lang w:val="en-US" w:eastAsia="zh-CN"/>
              </w:rPr>
            </w:pPr>
          </w:p>
        </w:tc>
        <w:tc>
          <w:tcPr>
            <w:tcW w:w="4345" w:type="pct"/>
            <w:gridSpan w:val="5"/>
            <w:tcBorders>
              <w:top w:val="nil"/>
              <w:left w:val="nil"/>
              <w:bottom w:val="single" w:color="auto" w:sz="4" w:space="0"/>
              <w:right w:val="single" w:color="auto" w:sz="4" w:space="0"/>
            </w:tcBorders>
            <w:shd w:val="clear" w:color="auto" w:fill="auto"/>
            <w:vAlign w:val="top"/>
          </w:tcPr>
          <w:p w14:paraId="471E581B">
            <w:pPr>
              <w:spacing w:line="0" w:lineRule="atLeast"/>
              <w:jc w:val="both"/>
              <w:rPr>
                <w:rFonts w:hint="eastAsia"/>
                <w:lang w:val="en-US" w:eastAsia="zh-CN"/>
              </w:rPr>
            </w:pPr>
            <w:r>
              <w:rPr>
                <w:rFonts w:hint="eastAsia"/>
                <w:lang w:val="en-US" w:eastAsia="zh-CN"/>
              </w:rPr>
              <w:t>该项指标是否建议选择（）</w:t>
            </w:r>
          </w:p>
          <w:p w14:paraId="0A56AF94">
            <w:pPr>
              <w:spacing w:line="0" w:lineRule="atLeast"/>
              <w:jc w:val="both"/>
              <w:rPr>
                <w:rFonts w:hint="default"/>
                <w:lang w:val="en-US" w:eastAsia="zh-CN"/>
              </w:rPr>
            </w:pPr>
            <w:r>
              <w:rPr>
                <w:rFonts w:hint="eastAsia"/>
                <w:lang w:val="en-US" w:eastAsia="zh-CN"/>
              </w:rPr>
              <w:t>论证理由：</w:t>
            </w:r>
          </w:p>
          <w:p w14:paraId="0ACB9004">
            <w:pPr>
              <w:spacing w:line="0" w:lineRule="atLeast"/>
              <w:jc w:val="both"/>
              <w:rPr>
                <w:rFonts w:hint="eastAsia" w:ascii="宋体" w:hAnsi="宋体" w:eastAsia="宋体" w:cs="宋体"/>
                <w:lang w:val="en-US" w:eastAsia="zh-CN"/>
              </w:rPr>
            </w:pPr>
          </w:p>
        </w:tc>
      </w:tr>
      <w:tr w14:paraId="6A36287D">
        <w:tblPrEx>
          <w:tblCellMar>
            <w:top w:w="0" w:type="dxa"/>
            <w:left w:w="108" w:type="dxa"/>
            <w:bottom w:w="0" w:type="dxa"/>
            <w:right w:w="108" w:type="dxa"/>
          </w:tblCellMar>
        </w:tblPrEx>
        <w:trPr>
          <w:trHeight w:val="176" w:hRule="atLeast"/>
        </w:trPr>
        <w:tc>
          <w:tcPr>
            <w:tcW w:w="325" w:type="pct"/>
            <w:vMerge w:val="restart"/>
            <w:tcBorders>
              <w:top w:val="single" w:color="auto" w:sz="4" w:space="0"/>
              <w:left w:val="single" w:color="auto" w:sz="4" w:space="0"/>
              <w:right w:val="single" w:color="auto" w:sz="4" w:space="0"/>
            </w:tcBorders>
            <w:shd w:val="clear" w:color="auto" w:fill="auto"/>
            <w:vAlign w:val="center"/>
          </w:tcPr>
          <w:p w14:paraId="32F1D9F5">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5.</w:t>
            </w:r>
          </w:p>
          <w:p w14:paraId="28B7A83F">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学生发展</w:t>
            </w:r>
          </w:p>
        </w:tc>
        <w:tc>
          <w:tcPr>
            <w:tcW w:w="32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25C279">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5.2学业成绩及综合素质</w:t>
            </w:r>
          </w:p>
        </w:tc>
        <w:tc>
          <w:tcPr>
            <w:tcW w:w="2573" w:type="pct"/>
            <w:tcBorders>
              <w:top w:val="single" w:color="auto" w:sz="4" w:space="0"/>
              <w:left w:val="single" w:color="auto" w:sz="4" w:space="0"/>
              <w:bottom w:val="single" w:color="auto" w:sz="4" w:space="0"/>
              <w:right w:val="single" w:color="auto" w:sz="4" w:space="0"/>
            </w:tcBorders>
            <w:shd w:val="clear" w:color="auto" w:fill="FEF2CB" w:themeFill="accent3" w:themeFillTint="32"/>
            <w:vAlign w:val="center"/>
          </w:tcPr>
          <w:p w14:paraId="40A1ABB3">
            <w:pPr>
              <w:spacing w:line="0" w:lineRule="atLeast"/>
              <w:jc w:val="both"/>
              <w:rPr>
                <w:rFonts w:hint="eastAsia" w:ascii="宋体" w:hAnsi="宋体" w:eastAsia="宋体" w:cs="宋体"/>
                <w:lang w:val="en-US" w:eastAsia="zh-CN"/>
              </w:rPr>
            </w:pPr>
            <w:r>
              <w:rPr>
                <w:rFonts w:hint="eastAsia" w:ascii="宋体" w:hAnsi="宋体" w:eastAsia="宋体" w:cs="宋体"/>
                <w:lang w:val="en-US" w:eastAsia="zh-CN"/>
              </w:rPr>
              <w:t>【可选13】本科生以第一作者/通讯作者在公开发行期刊发表的论文数和本科生获批国家发明专利数</w:t>
            </w:r>
          </w:p>
        </w:tc>
        <w:tc>
          <w:tcPr>
            <w:tcW w:w="40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4ED8A34E">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167</w:t>
            </w:r>
          </w:p>
          <w:p w14:paraId="1D0FB788">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0</w:t>
            </w:r>
          </w:p>
        </w:tc>
        <w:tc>
          <w:tcPr>
            <w:tcW w:w="468"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462D6FC9">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61.65</w:t>
            </w:r>
          </w:p>
          <w:p w14:paraId="2D095AB2">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2.08</w:t>
            </w:r>
          </w:p>
        </w:tc>
        <w:tc>
          <w:tcPr>
            <w:tcW w:w="41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1590987D">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44.38</w:t>
            </w:r>
          </w:p>
          <w:p w14:paraId="2293EA3C">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3.92</w:t>
            </w:r>
          </w:p>
        </w:tc>
        <w:tc>
          <w:tcPr>
            <w:tcW w:w="48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66C18EBA">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50.44</w:t>
            </w:r>
          </w:p>
          <w:p w14:paraId="6DB900E6">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2.76</w:t>
            </w:r>
          </w:p>
        </w:tc>
      </w:tr>
      <w:tr w14:paraId="2613EC74">
        <w:tblPrEx>
          <w:tblCellMar>
            <w:top w:w="0" w:type="dxa"/>
            <w:left w:w="108" w:type="dxa"/>
            <w:bottom w:w="0" w:type="dxa"/>
            <w:right w:w="108" w:type="dxa"/>
          </w:tblCellMar>
        </w:tblPrEx>
        <w:trPr>
          <w:trHeight w:val="2314" w:hRule="atLeast"/>
        </w:trPr>
        <w:tc>
          <w:tcPr>
            <w:tcW w:w="325" w:type="pct"/>
            <w:vMerge w:val="continue"/>
            <w:tcBorders>
              <w:left w:val="single" w:color="auto" w:sz="4" w:space="0"/>
              <w:right w:val="single" w:color="auto" w:sz="4" w:space="0"/>
            </w:tcBorders>
            <w:shd w:val="clear" w:color="auto" w:fill="auto"/>
            <w:vAlign w:val="center"/>
          </w:tcPr>
          <w:p w14:paraId="549A976A">
            <w:pPr>
              <w:spacing w:line="0" w:lineRule="atLeast"/>
              <w:jc w:val="center"/>
              <w:rPr>
                <w:rFonts w:hint="eastAsia" w:ascii="宋体" w:hAnsi="宋体" w:eastAsia="宋体" w:cs="宋体"/>
                <w:lang w:val="en-US" w:eastAsia="zh-CN"/>
              </w:rPr>
            </w:pPr>
          </w:p>
        </w:tc>
        <w:tc>
          <w:tcPr>
            <w:tcW w:w="32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035B60">
            <w:pPr>
              <w:spacing w:line="0" w:lineRule="atLeast"/>
              <w:jc w:val="center"/>
              <w:rPr>
                <w:rFonts w:hint="eastAsia" w:ascii="宋体" w:hAnsi="宋体" w:eastAsia="宋体" w:cs="宋体"/>
                <w:lang w:val="en-US" w:eastAsia="zh-CN"/>
              </w:rPr>
            </w:pPr>
          </w:p>
        </w:tc>
        <w:tc>
          <w:tcPr>
            <w:tcW w:w="4345" w:type="pct"/>
            <w:gridSpan w:val="5"/>
            <w:tcBorders>
              <w:top w:val="single" w:color="auto" w:sz="4" w:space="0"/>
              <w:left w:val="nil"/>
              <w:bottom w:val="single" w:color="auto" w:sz="4" w:space="0"/>
              <w:right w:val="single" w:color="auto" w:sz="4" w:space="0"/>
            </w:tcBorders>
            <w:shd w:val="clear" w:color="auto" w:fill="auto"/>
            <w:vAlign w:val="top"/>
          </w:tcPr>
          <w:p w14:paraId="0F82BB0B">
            <w:pPr>
              <w:spacing w:line="0" w:lineRule="atLeast"/>
              <w:jc w:val="both"/>
              <w:rPr>
                <w:rFonts w:hint="eastAsia"/>
                <w:lang w:val="en-US" w:eastAsia="zh-CN"/>
              </w:rPr>
            </w:pPr>
            <w:r>
              <w:rPr>
                <w:rFonts w:hint="eastAsia"/>
                <w:lang w:val="en-US" w:eastAsia="zh-CN"/>
              </w:rPr>
              <w:t>该项指标是否建议选择（）</w:t>
            </w:r>
          </w:p>
          <w:p w14:paraId="4099515C">
            <w:pPr>
              <w:spacing w:line="0" w:lineRule="atLeast"/>
              <w:jc w:val="both"/>
              <w:rPr>
                <w:rFonts w:hint="default"/>
                <w:lang w:val="en-US" w:eastAsia="zh-CN"/>
              </w:rPr>
            </w:pPr>
            <w:r>
              <w:rPr>
                <w:rFonts w:hint="eastAsia"/>
                <w:lang w:val="en-US" w:eastAsia="zh-CN"/>
              </w:rPr>
              <w:t>论证理由：</w:t>
            </w:r>
          </w:p>
          <w:p w14:paraId="377A0888">
            <w:pPr>
              <w:spacing w:line="0" w:lineRule="atLeast"/>
              <w:jc w:val="both"/>
              <w:rPr>
                <w:rFonts w:hint="eastAsia" w:ascii="宋体" w:hAnsi="宋体" w:eastAsia="宋体" w:cs="宋体"/>
                <w:lang w:val="en-US" w:eastAsia="zh-CN"/>
              </w:rPr>
            </w:pPr>
          </w:p>
        </w:tc>
      </w:tr>
      <w:tr w14:paraId="7134FEB4">
        <w:tblPrEx>
          <w:tblCellMar>
            <w:top w:w="0" w:type="dxa"/>
            <w:left w:w="108" w:type="dxa"/>
            <w:bottom w:w="0" w:type="dxa"/>
            <w:right w:w="108" w:type="dxa"/>
          </w:tblCellMar>
        </w:tblPrEx>
        <w:trPr>
          <w:trHeight w:val="472" w:hRule="atLeast"/>
        </w:trPr>
        <w:tc>
          <w:tcPr>
            <w:tcW w:w="325" w:type="pct"/>
            <w:vMerge w:val="continue"/>
            <w:tcBorders>
              <w:left w:val="single" w:color="auto" w:sz="4" w:space="0"/>
              <w:bottom w:val="single" w:color="auto" w:sz="4" w:space="0"/>
              <w:right w:val="single" w:color="auto" w:sz="4" w:space="0"/>
            </w:tcBorders>
            <w:shd w:val="clear" w:color="auto" w:fill="auto"/>
            <w:vAlign w:val="center"/>
          </w:tcPr>
          <w:p w14:paraId="3561DCB4">
            <w:pPr>
              <w:spacing w:line="0" w:lineRule="atLeast"/>
              <w:jc w:val="center"/>
              <w:rPr>
                <w:rFonts w:hint="eastAsia" w:ascii="宋体" w:hAnsi="宋体" w:eastAsia="宋体" w:cs="宋体"/>
                <w:lang w:val="en-US" w:eastAsia="zh-CN"/>
              </w:rPr>
            </w:pPr>
          </w:p>
        </w:tc>
        <w:tc>
          <w:tcPr>
            <w:tcW w:w="329" w:type="pct"/>
            <w:vMerge w:val="restart"/>
            <w:tcBorders>
              <w:top w:val="single" w:color="auto" w:sz="4" w:space="0"/>
              <w:left w:val="single" w:color="auto" w:sz="4" w:space="0"/>
              <w:right w:val="single" w:color="auto" w:sz="4" w:space="0"/>
            </w:tcBorders>
            <w:shd w:val="clear" w:color="auto" w:fill="auto"/>
            <w:vAlign w:val="center"/>
          </w:tcPr>
          <w:p w14:paraId="6FB91F7E">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5.4支持服务</w:t>
            </w:r>
          </w:p>
        </w:tc>
        <w:tc>
          <w:tcPr>
            <w:tcW w:w="2573"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67B057E5">
            <w:pPr>
              <w:spacing w:line="0" w:lineRule="atLeast"/>
              <w:jc w:val="both"/>
              <w:rPr>
                <w:rFonts w:hint="eastAsia" w:ascii="宋体" w:hAnsi="宋体" w:eastAsia="宋体" w:cs="宋体"/>
                <w:lang w:val="en-US" w:eastAsia="zh-CN"/>
              </w:rPr>
            </w:pPr>
            <w:r>
              <w:rPr>
                <w:rFonts w:hint="eastAsia" w:ascii="宋体" w:hAnsi="宋体" w:eastAsia="宋体" w:cs="宋体"/>
                <w:lang w:val="en-US" w:eastAsia="zh-CN"/>
              </w:rPr>
              <w:t>【可选16</w:t>
            </w:r>
            <w:bookmarkStart w:id="0" w:name="_GoBack"/>
            <w:bookmarkEnd w:id="0"/>
            <w:r>
              <w:rPr>
                <w:rFonts w:hint="eastAsia" w:ascii="宋体" w:hAnsi="宋体" w:eastAsia="宋体" w:cs="宋体"/>
                <w:lang w:val="en-US" w:eastAsia="zh-CN"/>
              </w:rPr>
              <w:t>】学术跨校修读课程门数和学分互认转化情况</w:t>
            </w:r>
          </w:p>
        </w:tc>
        <w:tc>
          <w:tcPr>
            <w:tcW w:w="40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71AE599A">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468"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4F85E488">
            <w:pPr>
              <w:spacing w:line="0" w:lineRule="atLeast"/>
              <w:jc w:val="center"/>
              <w:rPr>
                <w:rFonts w:hint="default" w:ascii="宋体" w:hAnsi="宋体" w:eastAsia="宋体" w:cs="宋体"/>
                <w:lang w:val="en-US" w:eastAsia="zh-CN"/>
              </w:rPr>
            </w:pPr>
            <w:r>
              <w:rPr>
                <w:rFonts w:hint="eastAsia" w:ascii="宋体" w:hAnsi="宋体" w:eastAsia="宋体" w:cs="宋体"/>
                <w:lang w:val="en-US" w:eastAsia="zh-CN"/>
              </w:rPr>
              <w:t>——</w:t>
            </w:r>
          </w:p>
        </w:tc>
        <w:tc>
          <w:tcPr>
            <w:tcW w:w="41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5CFAD400">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484" w:type="pct"/>
            <w:tcBorders>
              <w:top w:val="single" w:color="auto" w:sz="4" w:space="0"/>
              <w:left w:val="nil"/>
              <w:bottom w:val="single" w:color="auto" w:sz="4" w:space="0"/>
              <w:right w:val="single" w:color="auto" w:sz="4" w:space="0"/>
            </w:tcBorders>
            <w:shd w:val="clear" w:color="auto" w:fill="FEF2CB" w:themeFill="accent3" w:themeFillTint="32"/>
            <w:vAlign w:val="center"/>
          </w:tcPr>
          <w:p w14:paraId="4E97BF39">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w:t>
            </w:r>
          </w:p>
        </w:tc>
      </w:tr>
      <w:tr w14:paraId="4A9A22FD">
        <w:tblPrEx>
          <w:tblCellMar>
            <w:top w:w="0" w:type="dxa"/>
            <w:left w:w="108" w:type="dxa"/>
            <w:bottom w:w="0" w:type="dxa"/>
            <w:right w:w="108" w:type="dxa"/>
          </w:tblCellMar>
        </w:tblPrEx>
        <w:trPr>
          <w:trHeight w:val="2362" w:hRule="atLeast"/>
        </w:trPr>
        <w:tc>
          <w:tcPr>
            <w:tcW w:w="325" w:type="pct"/>
            <w:vMerge w:val="continue"/>
            <w:tcBorders>
              <w:left w:val="single" w:color="auto" w:sz="4" w:space="0"/>
              <w:bottom w:val="single" w:color="auto" w:sz="4" w:space="0"/>
              <w:right w:val="single" w:color="auto" w:sz="4" w:space="0"/>
            </w:tcBorders>
            <w:shd w:val="clear" w:color="auto" w:fill="auto"/>
            <w:vAlign w:val="center"/>
          </w:tcPr>
          <w:p w14:paraId="1A4D11E7">
            <w:pPr>
              <w:spacing w:line="0" w:lineRule="atLeast"/>
              <w:jc w:val="both"/>
            </w:pPr>
          </w:p>
        </w:tc>
        <w:tc>
          <w:tcPr>
            <w:tcW w:w="329" w:type="pct"/>
            <w:vMerge w:val="continue"/>
            <w:tcBorders>
              <w:left w:val="single" w:color="auto" w:sz="4" w:space="0"/>
              <w:bottom w:val="single" w:color="auto" w:sz="4" w:space="0"/>
              <w:right w:val="single" w:color="auto" w:sz="4" w:space="0"/>
            </w:tcBorders>
            <w:shd w:val="clear" w:color="auto" w:fill="auto"/>
            <w:vAlign w:val="center"/>
          </w:tcPr>
          <w:p w14:paraId="612B240B">
            <w:pPr>
              <w:spacing w:line="0" w:lineRule="atLeast"/>
              <w:jc w:val="both"/>
            </w:pPr>
          </w:p>
        </w:tc>
        <w:tc>
          <w:tcPr>
            <w:tcW w:w="4345" w:type="pct"/>
            <w:gridSpan w:val="5"/>
            <w:tcBorders>
              <w:top w:val="single" w:color="auto" w:sz="4" w:space="0"/>
              <w:left w:val="nil"/>
              <w:bottom w:val="single" w:color="auto" w:sz="4" w:space="0"/>
              <w:right w:val="single" w:color="auto" w:sz="4" w:space="0"/>
            </w:tcBorders>
            <w:shd w:val="clear" w:color="auto" w:fill="auto"/>
            <w:vAlign w:val="top"/>
          </w:tcPr>
          <w:p w14:paraId="4422261B">
            <w:pPr>
              <w:spacing w:line="0" w:lineRule="atLeast"/>
              <w:jc w:val="both"/>
              <w:rPr>
                <w:rFonts w:hint="eastAsia"/>
                <w:lang w:val="en-US" w:eastAsia="zh-CN"/>
              </w:rPr>
            </w:pPr>
            <w:r>
              <w:rPr>
                <w:rFonts w:hint="eastAsia"/>
                <w:lang w:val="en-US" w:eastAsia="zh-CN"/>
              </w:rPr>
              <w:t>该项指标是否建议选择（）</w:t>
            </w:r>
          </w:p>
          <w:p w14:paraId="0E61DE05">
            <w:pPr>
              <w:spacing w:line="0" w:lineRule="atLeast"/>
              <w:jc w:val="both"/>
              <w:rPr>
                <w:rFonts w:hint="default"/>
                <w:lang w:val="en-US" w:eastAsia="zh-CN"/>
              </w:rPr>
            </w:pPr>
            <w:r>
              <w:rPr>
                <w:rFonts w:hint="eastAsia"/>
                <w:lang w:val="en-US" w:eastAsia="zh-CN"/>
              </w:rPr>
              <w:t>论证理由：</w:t>
            </w:r>
          </w:p>
          <w:p w14:paraId="7B5F7E9C">
            <w:pPr>
              <w:spacing w:line="0" w:lineRule="atLeast"/>
              <w:jc w:val="both"/>
              <w:rPr>
                <w:rFonts w:hint="eastAsia" w:ascii="宋体" w:hAnsi="宋体" w:eastAsia="宋体" w:cs="宋体"/>
                <w:lang w:val="en-US" w:eastAsia="zh-CN"/>
              </w:rPr>
            </w:pPr>
          </w:p>
        </w:tc>
      </w:tr>
    </w:tbl>
    <w:p w14:paraId="0129B196">
      <w:pPr>
        <w:spacing w:line="320" w:lineRule="exact"/>
        <w:rPr>
          <w:rFonts w:ascii="Times New Roman" w:hAnsi="Times New Roman" w:cs="宋体"/>
          <w:b/>
          <w:kern w:val="0"/>
          <w:szCs w:val="21"/>
        </w:rPr>
      </w:pPr>
      <w:r>
        <w:rPr>
          <w:rFonts w:hint="eastAsia" w:cs="宋体" w:asciiTheme="minorEastAsia" w:hAnsiTheme="minorEastAsia"/>
          <w:b/>
          <w:kern w:val="0"/>
          <w:szCs w:val="21"/>
        </w:rPr>
        <w:t>【</w:t>
      </w:r>
      <w:r>
        <w:rPr>
          <w:rFonts w:hint="eastAsia" w:ascii="Times New Roman" w:hAnsi="Times New Roman" w:cs="宋体"/>
          <w:b/>
          <w:kern w:val="0"/>
          <w:szCs w:val="21"/>
        </w:rPr>
        <w:t>说明</w:t>
      </w:r>
      <w:r>
        <w:rPr>
          <w:rFonts w:hint="eastAsia" w:cs="宋体" w:asciiTheme="minorEastAsia" w:hAnsiTheme="minorEastAsia"/>
          <w:b/>
          <w:kern w:val="0"/>
          <w:szCs w:val="21"/>
        </w:rPr>
        <w:t>】</w:t>
      </w:r>
    </w:p>
    <w:p w14:paraId="7E1A5F8D">
      <w:pPr>
        <w:spacing w:line="320" w:lineRule="exact"/>
        <w:ind w:firstLine="422" w:firstLineChars="200"/>
        <w:rPr>
          <w:rFonts w:hint="default" w:ascii="Times New Roman" w:hAnsi="Times New Roman" w:cs="宋体" w:eastAsiaTheme="minorEastAsia"/>
          <w:b/>
          <w:color w:val="FF0000"/>
          <w:kern w:val="0"/>
          <w:szCs w:val="21"/>
          <w:lang w:val="en-US" w:eastAsia="zh-CN"/>
        </w:rPr>
      </w:pPr>
      <w:r>
        <w:rPr>
          <w:rFonts w:hint="eastAsia" w:ascii="Times New Roman" w:hAnsi="Times New Roman" w:cs="宋体"/>
          <w:b/>
          <w:color w:val="FF0000"/>
          <w:kern w:val="0"/>
          <w:szCs w:val="21"/>
          <w:lang w:val="en-US" w:eastAsia="zh-CN"/>
        </w:rPr>
        <w:t>1.论证理由部分可另附说明，或另附相应支撑材料</w:t>
      </w:r>
    </w:p>
    <w:p w14:paraId="5E1B7015">
      <w:pPr>
        <w:spacing w:line="320" w:lineRule="exact"/>
        <w:ind w:firstLine="422" w:firstLineChars="200"/>
        <w:rPr>
          <w:rFonts w:ascii="Times New Roman" w:hAnsi="Times New Roman" w:cs="宋体"/>
          <w:b/>
          <w:kern w:val="0"/>
          <w:szCs w:val="21"/>
        </w:rPr>
      </w:pPr>
      <w:r>
        <w:rPr>
          <w:rFonts w:hint="eastAsia" w:ascii="Times New Roman" w:hAnsi="Times New Roman" w:cs="宋体"/>
          <w:b/>
          <w:kern w:val="0"/>
          <w:szCs w:val="21"/>
          <w:lang w:val="en-US" w:eastAsia="zh-CN"/>
        </w:rPr>
        <w:t>2</w:t>
      </w:r>
      <w:r>
        <w:rPr>
          <w:rFonts w:hint="eastAsia" w:ascii="Times New Roman" w:hAnsi="Times New Roman" w:cs="宋体"/>
          <w:b/>
          <w:kern w:val="0"/>
          <w:szCs w:val="21"/>
        </w:rPr>
        <w:t>.“我校数据”来源为</w:t>
      </w:r>
      <w:r>
        <w:rPr>
          <w:rFonts w:hint="eastAsia" w:ascii="Times New Roman" w:hAnsi="Times New Roman" w:cs="宋体"/>
          <w:b/>
          <w:kern w:val="0"/>
          <w:szCs w:val="21"/>
          <w:lang w:val="en-US" w:eastAsia="zh-CN"/>
        </w:rPr>
        <w:t>2023</w:t>
      </w:r>
      <w:r>
        <w:rPr>
          <w:rFonts w:hint="eastAsia" w:ascii="Times New Roman" w:hAnsi="Times New Roman" w:cs="宋体"/>
          <w:b/>
          <w:kern w:val="0"/>
          <w:szCs w:val="21"/>
        </w:rPr>
        <w:t>年10月填报的“高等教育质量监测国家数据平台”中生成的数据报告，其中节点数据为202</w:t>
      </w:r>
      <w:r>
        <w:rPr>
          <w:rFonts w:hint="eastAsia" w:ascii="Times New Roman" w:hAnsi="Times New Roman" w:cs="宋体"/>
          <w:b/>
          <w:kern w:val="0"/>
          <w:szCs w:val="21"/>
          <w:lang w:val="en-US" w:eastAsia="zh-CN"/>
        </w:rPr>
        <w:t>3</w:t>
      </w:r>
      <w:r>
        <w:rPr>
          <w:rFonts w:hint="eastAsia" w:ascii="Times New Roman" w:hAnsi="Times New Roman" w:cs="宋体"/>
          <w:b/>
          <w:kern w:val="0"/>
          <w:szCs w:val="21"/>
        </w:rPr>
        <w:t>年9月30日，学年数据为202</w:t>
      </w:r>
      <w:r>
        <w:rPr>
          <w:rFonts w:hint="eastAsia" w:ascii="Times New Roman" w:hAnsi="Times New Roman" w:cs="宋体"/>
          <w:b/>
          <w:kern w:val="0"/>
          <w:szCs w:val="21"/>
          <w:lang w:val="en-US" w:eastAsia="zh-CN"/>
        </w:rPr>
        <w:t>2</w:t>
      </w:r>
      <w:r>
        <w:rPr>
          <w:rFonts w:hint="eastAsia" w:ascii="Times New Roman" w:hAnsi="Times New Roman" w:cs="宋体"/>
          <w:b/>
          <w:kern w:val="0"/>
          <w:szCs w:val="21"/>
        </w:rPr>
        <w:t>—202</w:t>
      </w:r>
      <w:r>
        <w:rPr>
          <w:rFonts w:hint="eastAsia" w:ascii="Times New Roman" w:hAnsi="Times New Roman" w:cs="宋体"/>
          <w:b/>
          <w:kern w:val="0"/>
          <w:szCs w:val="21"/>
          <w:lang w:val="en-US" w:eastAsia="zh-CN"/>
        </w:rPr>
        <w:t>3</w:t>
      </w:r>
      <w:r>
        <w:rPr>
          <w:rFonts w:hint="eastAsia" w:ascii="Times New Roman" w:hAnsi="Times New Roman" w:cs="宋体"/>
          <w:b/>
          <w:kern w:val="0"/>
          <w:szCs w:val="21"/>
        </w:rPr>
        <w:t>学年数据，财务数据截止到202</w:t>
      </w:r>
      <w:r>
        <w:rPr>
          <w:rFonts w:hint="eastAsia" w:ascii="Times New Roman" w:hAnsi="Times New Roman" w:cs="宋体"/>
          <w:b/>
          <w:kern w:val="0"/>
          <w:szCs w:val="21"/>
          <w:lang w:val="en-US" w:eastAsia="zh-CN"/>
        </w:rPr>
        <w:t>2</w:t>
      </w:r>
      <w:r>
        <w:rPr>
          <w:rFonts w:hint="eastAsia" w:ascii="Times New Roman" w:hAnsi="Times New Roman" w:cs="宋体"/>
          <w:b/>
          <w:kern w:val="0"/>
          <w:szCs w:val="21"/>
        </w:rPr>
        <w:t>年底，数据仅供参考。</w:t>
      </w:r>
    </w:p>
    <w:p w14:paraId="676C56ED">
      <w:pPr>
        <w:ind w:firstLine="422" w:firstLineChars="200"/>
      </w:pPr>
      <w:r>
        <w:rPr>
          <w:rFonts w:hint="eastAsia" w:ascii="Times New Roman" w:hAnsi="Times New Roman" w:cs="宋体"/>
          <w:b/>
          <w:kern w:val="0"/>
          <w:szCs w:val="21"/>
          <w:lang w:val="en-US" w:eastAsia="zh-CN"/>
        </w:rPr>
        <w:t>3</w:t>
      </w:r>
      <w:r>
        <w:rPr>
          <w:rFonts w:hint="eastAsia" w:ascii="Times New Roman" w:hAnsi="Times New Roman" w:cs="宋体"/>
          <w:b/>
          <w:kern w:val="0"/>
          <w:szCs w:val="21"/>
        </w:rPr>
        <w:t>.涉及教学运行的基础数据，如教师信息、在校生信息、毕业生信息、课程信息等，会影响到多个指标数据生成。</w:t>
      </w:r>
    </w:p>
    <w:sectPr>
      <w:pgSz w:w="11906" w:h="16838"/>
      <w:pgMar w:top="1701"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88B64A-3202-46EB-81D4-37394F78AF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38AB829-D27B-4745-BD99-6FA1C7DCF0A0}"/>
  </w:font>
  <w:font w:name="方正小标宋简体">
    <w:panose1 w:val="02000000000000000000"/>
    <w:charset w:val="86"/>
    <w:family w:val="auto"/>
    <w:pitch w:val="default"/>
    <w:sig w:usb0="00000001" w:usb1="08000000" w:usb2="00000000" w:usb3="00000000" w:csb0="00040000" w:csb1="00000000"/>
    <w:embedRegular r:id="rId3" w:fontKey="{6A6613D0-D154-4309-8226-E858B307AEB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4AE311"/>
    <w:multiLevelType w:val="singleLevel"/>
    <w:tmpl w:val="7C4AE31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0MTkzMmZjZDRiOWRhNDVmYjc4ZmE4MjJmZmRlZWQifQ=="/>
  </w:docVars>
  <w:rsids>
    <w:rsidRoot w:val="30BF581E"/>
    <w:rsid w:val="086C5D2B"/>
    <w:rsid w:val="09C474A0"/>
    <w:rsid w:val="0B4C253D"/>
    <w:rsid w:val="0E393B50"/>
    <w:rsid w:val="0F035D41"/>
    <w:rsid w:val="0FA740E1"/>
    <w:rsid w:val="12895944"/>
    <w:rsid w:val="13A85386"/>
    <w:rsid w:val="179D474C"/>
    <w:rsid w:val="1D6070AA"/>
    <w:rsid w:val="1DEE4553"/>
    <w:rsid w:val="240D1D18"/>
    <w:rsid w:val="25080770"/>
    <w:rsid w:val="2ADA171D"/>
    <w:rsid w:val="2C5C5D4C"/>
    <w:rsid w:val="2D000D60"/>
    <w:rsid w:val="30BF581E"/>
    <w:rsid w:val="32026D82"/>
    <w:rsid w:val="37D270A9"/>
    <w:rsid w:val="3AD6793E"/>
    <w:rsid w:val="3B2A6024"/>
    <w:rsid w:val="3DED6027"/>
    <w:rsid w:val="3FDA6FFF"/>
    <w:rsid w:val="438A6A89"/>
    <w:rsid w:val="47960280"/>
    <w:rsid w:val="4AB45E55"/>
    <w:rsid w:val="4AEA1D44"/>
    <w:rsid w:val="50FE0EFE"/>
    <w:rsid w:val="51050415"/>
    <w:rsid w:val="514C385F"/>
    <w:rsid w:val="5A720EBC"/>
    <w:rsid w:val="5D115D28"/>
    <w:rsid w:val="5F622211"/>
    <w:rsid w:val="606F3C63"/>
    <w:rsid w:val="63E970A4"/>
    <w:rsid w:val="6E756E10"/>
    <w:rsid w:val="74820F33"/>
    <w:rsid w:val="7BD80369"/>
    <w:rsid w:val="7E926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1148</Words>
  <Characters>1304</Characters>
  <Lines>0</Lines>
  <Paragraphs>0</Paragraphs>
  <TotalTime>4</TotalTime>
  <ScaleCrop>false</ScaleCrop>
  <LinksUpToDate>false</LinksUpToDate>
  <CharactersWithSpaces>1322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2023-10-30T09:47:00Z</dcterms:created>
  <dc:creator>Tillytilly</dc:creator>
  <cp:lastModifiedBy>Tillytilly</cp:lastModifiedBy>
  <cp:lastPrinted>2023-10-31T02:56:00Z</cp:lastPrinted>
  <dcterms:modified xsi:type="dcterms:W3CDTF">2024-08-27T01:45:24Z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A7E4F17EE7F74107A9D0B8CB0E0F14D3_11</vt:lpwstr>
  </property>
</Properties>
</file>