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DA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附件3-7</w:t>
      </w:r>
    </w:p>
    <w:p w14:paraId="092B9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本科教育教学审核评估指标体系可选项</w:t>
      </w:r>
    </w:p>
    <w:p w14:paraId="5A411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分部门（单位）汇总</w:t>
      </w:r>
    </w:p>
    <w:p w14:paraId="5A434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  <w:t xml:space="preserve"> （国际交流合作处） </w:t>
      </w:r>
    </w:p>
    <w:p w14:paraId="33BB9C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textAlignment w:val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定性指标</w:t>
      </w:r>
      <w:r>
        <w:rPr>
          <w:rFonts w:hint="eastAsia" w:ascii="Times New Roman" w:hAnsi="Times New Roman" w:eastAsia="黑体"/>
          <w:sz w:val="30"/>
          <w:szCs w:val="30"/>
        </w:rPr>
        <w:t>特色</w:t>
      </w: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可</w:t>
      </w:r>
      <w:r>
        <w:rPr>
          <w:rFonts w:hint="eastAsia" w:ascii="Times New Roman" w:hAnsi="Times New Roman" w:eastAsia="黑体"/>
          <w:sz w:val="30"/>
          <w:szCs w:val="30"/>
        </w:rPr>
        <w:t>选项</w:t>
      </w:r>
    </w:p>
    <w:tbl>
      <w:tblPr>
        <w:tblStyle w:val="2"/>
        <w:tblW w:w="49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710"/>
        <w:gridCol w:w="7861"/>
      </w:tblGrid>
      <w:tr w14:paraId="2C5AB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tblHeader/>
          <w:jc w:val="center"/>
        </w:trPr>
        <w:tc>
          <w:tcPr>
            <w:tcW w:w="363" w:type="pct"/>
            <w:shd w:val="clear" w:color="auto" w:fill="auto"/>
            <w:vAlign w:val="center"/>
          </w:tcPr>
          <w:p w14:paraId="198776A5">
            <w:pPr>
              <w:spacing w:line="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一级指标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58C1606">
            <w:pPr>
              <w:spacing w:line="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二级指标</w:t>
            </w:r>
          </w:p>
        </w:tc>
        <w:tc>
          <w:tcPr>
            <w:tcW w:w="4252" w:type="pct"/>
            <w:shd w:val="clear" w:color="auto" w:fill="auto"/>
            <w:vAlign w:val="center"/>
          </w:tcPr>
          <w:p w14:paraId="1B5CA740">
            <w:pPr>
              <w:spacing w:line="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审核重点</w:t>
            </w:r>
          </w:p>
        </w:tc>
      </w:tr>
      <w:tr w14:paraId="50729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63" w:type="pct"/>
            <w:vMerge w:val="restart"/>
            <w:shd w:val="clear" w:color="auto" w:fill="auto"/>
            <w:vAlign w:val="center"/>
          </w:tcPr>
          <w:p w14:paraId="15D91B64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  <w:p w14:paraId="0EEE5610">
            <w:pPr>
              <w:spacing w:line="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教师队伍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14:paraId="66414435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4.4</w:t>
            </w:r>
          </w:p>
          <w:p w14:paraId="5BC133CA">
            <w:pPr>
              <w:spacing w:line="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教师发展</w:t>
            </w:r>
          </w:p>
        </w:tc>
        <w:tc>
          <w:tcPr>
            <w:tcW w:w="4252" w:type="pct"/>
            <w:shd w:val="clear" w:color="auto" w:fill="FBE6D6" w:themeFill="accent2" w:themeFillTint="32"/>
            <w:vAlign w:val="center"/>
          </w:tcPr>
          <w:p w14:paraId="54C66E7F">
            <w:pPr>
              <w:spacing w:line="0" w:lineRule="atLeast"/>
            </w:pPr>
            <w:r>
              <w:t xml:space="preserve">K </w:t>
            </w:r>
            <w:r>
              <w:rPr>
                <w:rFonts w:hint="eastAsia"/>
              </w:rPr>
              <w:t>4.4.</w:t>
            </w:r>
            <w:r>
              <w:t xml:space="preserve">5 </w:t>
            </w:r>
            <w:r>
              <w:rPr>
                <w:rFonts w:hint="eastAsia"/>
              </w:rPr>
              <w:t>教师赴国（境）外交流、访学、参加国际会议、合作研究等情况</w:t>
            </w:r>
          </w:p>
        </w:tc>
      </w:tr>
      <w:tr w14:paraId="4103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atLeast"/>
          <w:jc w:val="center"/>
        </w:trPr>
        <w:tc>
          <w:tcPr>
            <w:tcW w:w="363" w:type="pct"/>
            <w:vMerge w:val="continue"/>
            <w:shd w:val="clear" w:color="auto" w:fill="auto"/>
            <w:vAlign w:val="center"/>
          </w:tcPr>
          <w:p w14:paraId="37833594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 w14:paraId="0F4FE9B5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252" w:type="pct"/>
            <w:shd w:val="clear" w:color="auto" w:fill="auto"/>
            <w:vAlign w:val="top"/>
          </w:tcPr>
          <w:p w14:paraId="6338FA00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230569BA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66C128A4">
            <w:pPr>
              <w:spacing w:line="0" w:lineRule="atLeast"/>
              <w:jc w:val="both"/>
            </w:pPr>
          </w:p>
        </w:tc>
      </w:tr>
      <w:tr w14:paraId="3DAFD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63" w:type="pct"/>
            <w:vMerge w:val="restart"/>
            <w:shd w:val="clear" w:color="auto" w:fill="auto"/>
            <w:vAlign w:val="center"/>
          </w:tcPr>
          <w:p w14:paraId="60C523A3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  <w:p w14:paraId="2122E8C5">
            <w:pPr>
              <w:spacing w:line="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学生发展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14:paraId="350EF104">
            <w:pPr>
              <w:spacing w:line="0" w:lineRule="atLeast"/>
              <w:jc w:val="center"/>
            </w:pPr>
            <w:r>
              <w:t>K5</w:t>
            </w:r>
            <w:r>
              <w:rPr>
                <w:rFonts w:hint="eastAsia"/>
              </w:rPr>
              <w:t>.3国际</w:t>
            </w:r>
          </w:p>
          <w:p w14:paraId="4315B9F3">
            <w:pPr>
              <w:spacing w:line="0" w:lineRule="atLeast"/>
              <w:jc w:val="center"/>
            </w:pPr>
            <w:r>
              <w:rPr>
                <w:rFonts w:hint="eastAsia"/>
              </w:rPr>
              <w:t>视野</w:t>
            </w:r>
          </w:p>
        </w:tc>
        <w:tc>
          <w:tcPr>
            <w:tcW w:w="4252" w:type="pct"/>
            <w:shd w:val="clear" w:color="auto" w:fill="FBE6D6" w:themeFill="accent2" w:themeFillTint="32"/>
            <w:vAlign w:val="center"/>
          </w:tcPr>
          <w:p w14:paraId="1C2F3B18">
            <w:pPr>
              <w:spacing w:line="0" w:lineRule="atLeast"/>
            </w:pPr>
            <w:r>
              <w:t>K 5.</w:t>
            </w:r>
            <w:r>
              <w:rPr>
                <w:rFonts w:hint="eastAsia"/>
              </w:rPr>
              <w:t>3</w:t>
            </w:r>
            <w:r>
              <w:t>.1 与国</w:t>
            </w:r>
            <w:r>
              <w:rPr>
                <w:rFonts w:hint="eastAsia"/>
              </w:rPr>
              <w:t>（</w:t>
            </w:r>
            <w:r>
              <w:t>境</w:t>
            </w:r>
            <w:r>
              <w:rPr>
                <w:rFonts w:hint="eastAsia"/>
              </w:rPr>
              <w:t>）</w:t>
            </w:r>
            <w:r>
              <w:t>外</w:t>
            </w:r>
            <w:r>
              <w:rPr>
                <w:rFonts w:hint="eastAsia"/>
              </w:rPr>
              <w:t>大学</w:t>
            </w:r>
            <w:r>
              <w:t>合作办学、合作</w:t>
            </w:r>
            <w:r>
              <w:rPr>
                <w:rFonts w:hint="eastAsia"/>
              </w:rPr>
              <w:t>育人</w:t>
            </w:r>
            <w:r>
              <w:t>以及与</w:t>
            </w:r>
            <w:r>
              <w:rPr>
                <w:rFonts w:hint="eastAsia"/>
              </w:rPr>
              <w:t>本科教育相关的国际交流活动和</w:t>
            </w:r>
            <w:r>
              <w:t>来华留学生教育</w:t>
            </w:r>
            <w:r>
              <w:rPr>
                <w:rFonts w:hint="eastAsia"/>
              </w:rPr>
              <w:t>开展情况</w:t>
            </w:r>
          </w:p>
        </w:tc>
      </w:tr>
      <w:tr w14:paraId="2E359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363" w:type="pct"/>
            <w:vMerge w:val="continue"/>
            <w:shd w:val="clear" w:color="auto" w:fill="auto"/>
            <w:vAlign w:val="center"/>
          </w:tcPr>
          <w:p w14:paraId="083E32BF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 w14:paraId="014C3791">
            <w:pPr>
              <w:spacing w:line="0" w:lineRule="atLeast"/>
              <w:jc w:val="center"/>
              <w:rPr>
                <w:rFonts w:hint="eastAsia"/>
              </w:rPr>
            </w:pPr>
          </w:p>
        </w:tc>
        <w:tc>
          <w:tcPr>
            <w:tcW w:w="4252" w:type="pct"/>
            <w:shd w:val="clear" w:color="auto" w:fill="auto"/>
            <w:vAlign w:val="top"/>
          </w:tcPr>
          <w:p w14:paraId="499C7B0E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34B85D89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05AB6FA1">
            <w:pPr>
              <w:spacing w:line="0" w:lineRule="atLeast"/>
              <w:jc w:val="both"/>
            </w:pPr>
          </w:p>
        </w:tc>
      </w:tr>
      <w:tr w14:paraId="28970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363" w:type="pct"/>
            <w:vMerge w:val="continue"/>
            <w:shd w:val="clear" w:color="auto" w:fill="auto"/>
            <w:vAlign w:val="center"/>
          </w:tcPr>
          <w:p w14:paraId="36BBA910">
            <w:pPr>
              <w:spacing w:line="0" w:lineRule="atLeast"/>
            </w:pP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 w14:paraId="0FC8A3B3">
            <w:pPr>
              <w:spacing w:line="0" w:lineRule="atLeast"/>
            </w:pPr>
          </w:p>
        </w:tc>
        <w:tc>
          <w:tcPr>
            <w:tcW w:w="4252" w:type="pct"/>
            <w:shd w:val="clear" w:color="auto" w:fill="FBE6D6" w:themeFill="accent2" w:themeFillTint="32"/>
            <w:vAlign w:val="center"/>
          </w:tcPr>
          <w:p w14:paraId="79DDAC78">
            <w:pPr>
              <w:spacing w:line="0" w:lineRule="atLeast"/>
            </w:pPr>
            <w:r>
              <w:t>K 5.</w:t>
            </w:r>
            <w:r>
              <w:rPr>
                <w:rFonts w:hint="eastAsia"/>
              </w:rPr>
              <w:t>3</w:t>
            </w:r>
            <w:r>
              <w:t xml:space="preserve">.2 </w:t>
            </w:r>
            <w:r>
              <w:rPr>
                <w:rFonts w:hint="eastAsia"/>
              </w:rPr>
              <w:t>国际先进教育理念、优质教育资源的吸收内化</w:t>
            </w:r>
            <w:r>
              <w:t>、培育和输出共享</w:t>
            </w:r>
            <w:r>
              <w:rPr>
                <w:rFonts w:hint="eastAsia"/>
              </w:rPr>
              <w:t>情况</w:t>
            </w:r>
          </w:p>
        </w:tc>
      </w:tr>
      <w:tr w14:paraId="0CC1B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  <w:jc w:val="center"/>
        </w:trPr>
        <w:tc>
          <w:tcPr>
            <w:tcW w:w="363" w:type="pct"/>
            <w:vMerge w:val="continue"/>
            <w:shd w:val="clear" w:color="auto" w:fill="auto"/>
            <w:vAlign w:val="center"/>
          </w:tcPr>
          <w:p w14:paraId="2B0B7A60">
            <w:pPr>
              <w:spacing w:line="0" w:lineRule="atLeast"/>
            </w:pP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 w14:paraId="1D8963FA">
            <w:pPr>
              <w:spacing w:line="0" w:lineRule="atLeast"/>
            </w:pPr>
          </w:p>
        </w:tc>
        <w:tc>
          <w:tcPr>
            <w:tcW w:w="4252" w:type="pct"/>
            <w:shd w:val="clear" w:color="auto" w:fill="auto"/>
            <w:vAlign w:val="top"/>
          </w:tcPr>
          <w:p w14:paraId="5099A11D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56D13F50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6334E67C">
            <w:pPr>
              <w:spacing w:line="0" w:lineRule="atLeast"/>
              <w:jc w:val="both"/>
            </w:pPr>
          </w:p>
        </w:tc>
      </w:tr>
      <w:tr w14:paraId="797C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63" w:type="pct"/>
            <w:vMerge w:val="continue"/>
            <w:shd w:val="clear" w:color="auto" w:fill="auto"/>
            <w:vAlign w:val="center"/>
          </w:tcPr>
          <w:p w14:paraId="3551BB15">
            <w:pPr>
              <w:spacing w:line="0" w:lineRule="atLeast"/>
            </w:pP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 w14:paraId="46E6326D">
            <w:pPr>
              <w:spacing w:line="0" w:lineRule="atLeast"/>
            </w:pPr>
          </w:p>
        </w:tc>
        <w:tc>
          <w:tcPr>
            <w:tcW w:w="4252" w:type="pct"/>
            <w:shd w:val="clear" w:color="auto" w:fill="auto"/>
            <w:vAlign w:val="center"/>
          </w:tcPr>
          <w:p w14:paraId="00BDAA54">
            <w:pPr>
              <w:shd w:val="clear" w:fill="FBE6D6" w:themeFill="accent2" w:themeFillTint="32"/>
              <w:spacing w:line="0" w:lineRule="atLeast"/>
            </w:pPr>
            <w:r>
              <w:t>K 5.</w:t>
            </w:r>
            <w:r>
              <w:rPr>
                <w:rFonts w:hint="eastAsia"/>
              </w:rPr>
              <w:t>3</w:t>
            </w:r>
            <w:r>
              <w:t xml:space="preserve">.3 </w:t>
            </w:r>
            <w:r>
              <w:rPr>
                <w:rFonts w:hint="eastAsia"/>
              </w:rPr>
              <w:t>学生赴国（境）外交流、访学、实习、竞赛、参加国际会议、合作研究等情况</w:t>
            </w:r>
          </w:p>
          <w:p w14:paraId="6D845693">
            <w:pPr>
              <w:shd w:val="clear" w:fill="FBE6D6" w:themeFill="accent2" w:themeFillTint="32"/>
              <w:spacing w:line="0" w:lineRule="atLeast"/>
            </w:pPr>
            <w:r>
              <w:rPr>
                <w:rFonts w:hint="eastAsia"/>
              </w:rPr>
              <w:t>【可选】在学期间赴国（境）外交流、访学、实习的学生数占在校生数的比例</w:t>
            </w:r>
          </w:p>
        </w:tc>
      </w:tr>
      <w:tr w14:paraId="77717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363" w:type="pct"/>
            <w:vMerge w:val="continue"/>
            <w:shd w:val="clear" w:color="auto" w:fill="auto"/>
            <w:vAlign w:val="center"/>
          </w:tcPr>
          <w:p w14:paraId="719B29DF">
            <w:pPr>
              <w:spacing w:line="0" w:lineRule="atLeast"/>
            </w:pP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 w14:paraId="54FD670F">
            <w:pPr>
              <w:spacing w:line="0" w:lineRule="atLeast"/>
            </w:pPr>
          </w:p>
        </w:tc>
        <w:tc>
          <w:tcPr>
            <w:tcW w:w="4252" w:type="pct"/>
            <w:shd w:val="clear" w:color="auto" w:fill="auto"/>
            <w:vAlign w:val="top"/>
          </w:tcPr>
          <w:p w14:paraId="3820C455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39638917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1B39EAA8">
            <w:pPr>
              <w:spacing w:line="0" w:lineRule="atLeast"/>
              <w:jc w:val="both"/>
              <w:rPr>
                <w:rFonts w:hint="eastAsia"/>
              </w:rPr>
            </w:pPr>
          </w:p>
        </w:tc>
      </w:tr>
    </w:tbl>
    <w:p w14:paraId="183C3D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textAlignment w:val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定量指标可选项</w:t>
      </w:r>
    </w:p>
    <w:tbl>
      <w:tblPr>
        <w:tblStyle w:val="2"/>
        <w:tblW w:w="4993" w:type="pct"/>
        <w:tblInd w:w="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83"/>
        <w:gridCol w:w="4972"/>
        <w:gridCol w:w="644"/>
        <w:gridCol w:w="963"/>
        <w:gridCol w:w="701"/>
        <w:gridCol w:w="854"/>
      </w:tblGrid>
      <w:tr w14:paraId="43C7B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1E908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一级</w:t>
            </w:r>
          </w:p>
          <w:p w14:paraId="55F36013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AC4CA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二级</w:t>
            </w:r>
          </w:p>
          <w:p w14:paraId="7271B249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2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499CD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指标内容</w:t>
            </w:r>
          </w:p>
        </w:tc>
        <w:tc>
          <w:tcPr>
            <w:tcW w:w="3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285964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我校</w:t>
            </w:r>
          </w:p>
          <w:p w14:paraId="45AFF1D6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</w:t>
            </w:r>
          </w:p>
        </w:tc>
        <w:tc>
          <w:tcPr>
            <w:tcW w:w="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B041E">
            <w:pPr>
              <w:spacing w:line="0" w:lineRule="atLeast"/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辽宁省常模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7CC3A">
            <w:pPr>
              <w:spacing w:line="0" w:lineRule="atLeast"/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全国常模</w:t>
            </w: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FF17A">
            <w:pPr>
              <w:spacing w:line="0" w:lineRule="atLeast"/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师范类常模</w:t>
            </w:r>
          </w:p>
        </w:tc>
      </w:tr>
      <w:tr w14:paraId="3292C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30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B96D6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5.</w:t>
            </w:r>
          </w:p>
          <w:p w14:paraId="3F8B03FC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学生发展</w:t>
            </w:r>
          </w:p>
        </w:tc>
        <w:tc>
          <w:tcPr>
            <w:tcW w:w="314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449D1BD1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K 5.3国际视野</w:t>
            </w:r>
          </w:p>
        </w:tc>
        <w:tc>
          <w:tcPr>
            <w:tcW w:w="26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15FE81F3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】在学期间赴国（境）外交流、访学、实习的学生数占在校生数的比例</w:t>
            </w:r>
          </w:p>
        </w:tc>
        <w:tc>
          <w:tcPr>
            <w:tcW w:w="3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600D42D0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0.04</w:t>
            </w:r>
          </w:p>
        </w:tc>
        <w:tc>
          <w:tcPr>
            <w:tcW w:w="5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2D38BBE9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0.22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55B624BE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0.26</w:t>
            </w: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0F760848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0.17</w:t>
            </w:r>
          </w:p>
        </w:tc>
      </w:tr>
      <w:tr w14:paraId="5F751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</w:trPr>
        <w:tc>
          <w:tcPr>
            <w:tcW w:w="30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41027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14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1AACF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38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 w14:paraId="661518DA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296A61B9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7F1A3DFA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</w:tbl>
    <w:p w14:paraId="40024604">
      <w:pPr>
        <w:spacing w:line="320" w:lineRule="exact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【</w:t>
      </w:r>
      <w:r>
        <w:rPr>
          <w:rFonts w:hint="eastAsia" w:ascii="Times New Roman" w:hAnsi="Times New Roman" w:cs="宋体"/>
          <w:b/>
          <w:kern w:val="0"/>
          <w:szCs w:val="21"/>
        </w:rPr>
        <w:t>说明</w:t>
      </w:r>
      <w:r>
        <w:rPr>
          <w:rFonts w:hint="eastAsia" w:cs="宋体" w:asciiTheme="minorEastAsia" w:hAnsiTheme="minorEastAsia"/>
          <w:b/>
          <w:kern w:val="0"/>
          <w:szCs w:val="21"/>
        </w:rPr>
        <w:t>】</w:t>
      </w:r>
    </w:p>
    <w:p w14:paraId="023504F4">
      <w:pPr>
        <w:spacing w:line="320" w:lineRule="exact"/>
        <w:ind w:firstLine="422" w:firstLineChars="200"/>
        <w:rPr>
          <w:rFonts w:hint="default" w:ascii="Times New Roman" w:hAnsi="Times New Roman" w:cs="宋体" w:eastAsiaTheme="minorEastAsia"/>
          <w:b/>
          <w:color w:val="FF0000"/>
          <w:kern w:val="0"/>
          <w:szCs w:val="21"/>
          <w:lang w:val="en-US" w:eastAsia="zh-CN"/>
        </w:rPr>
      </w:pPr>
      <w:r>
        <w:rPr>
          <w:rFonts w:hint="eastAsia" w:ascii="Times New Roman" w:hAnsi="Times New Roman" w:cs="宋体"/>
          <w:b/>
          <w:color w:val="FF0000"/>
          <w:kern w:val="0"/>
          <w:szCs w:val="21"/>
          <w:lang w:val="en-US" w:eastAsia="zh-CN"/>
        </w:rPr>
        <w:t>1.论证理由部分可另附说明，或另附相应支撑材料</w:t>
      </w:r>
    </w:p>
    <w:p w14:paraId="58B66A62">
      <w:pPr>
        <w:spacing w:line="320" w:lineRule="exact"/>
        <w:ind w:firstLine="422" w:firstLineChars="200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.“我校数据”来源为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2023</w:t>
      </w:r>
      <w:r>
        <w:rPr>
          <w:rFonts w:hint="eastAsia" w:ascii="Times New Roman" w:hAnsi="Times New Roman" w:cs="宋体"/>
          <w:b/>
          <w:kern w:val="0"/>
          <w:szCs w:val="21"/>
        </w:rPr>
        <w:t>年10月填报的“高等教育质量监测国家数据平台”中生成的数据报告，其中节点数据为202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年9月30日，学年数据为202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—202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学年数据，财务数据截止到202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年底，数据仅供参考。</w:t>
      </w:r>
    </w:p>
    <w:p w14:paraId="19611F6B">
      <w:pPr>
        <w:spacing w:line="320" w:lineRule="exact"/>
        <w:ind w:firstLine="422" w:firstLineChars="200"/>
        <w:rPr>
          <w:rFonts w:ascii="Times New Roman" w:hAnsi="Times New Roman" w:cs="宋体"/>
          <w:b/>
          <w:bCs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.涉及教学运行的基础数据，如教师信息、在校生信息、毕业生信息、课程信息等，会影响到多个指标数据生成。</w:t>
      </w:r>
    </w:p>
    <w:p w14:paraId="79DBFB06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C8F44E-F712-48B8-8C1F-DE76DFF32B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EB5D76E-3305-4C8A-8EBA-94A292DBC9C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04C79E1-EC69-48B2-BD53-5BC73C3512E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4AE311"/>
    <w:multiLevelType w:val="singleLevel"/>
    <w:tmpl w:val="7C4AE3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35560409"/>
    <w:rsid w:val="067B259F"/>
    <w:rsid w:val="0B24215A"/>
    <w:rsid w:val="119423F9"/>
    <w:rsid w:val="260A6604"/>
    <w:rsid w:val="35560409"/>
    <w:rsid w:val="3A165A9F"/>
    <w:rsid w:val="3C9924B3"/>
    <w:rsid w:val="50D428D8"/>
    <w:rsid w:val="574176F0"/>
    <w:rsid w:val="63461034"/>
    <w:rsid w:val="63F756A9"/>
    <w:rsid w:val="6A791AEB"/>
    <w:rsid w:val="706C2B24"/>
    <w:rsid w:val="79F80A27"/>
    <w:rsid w:val="7DD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654</Characters>
  <Lines>0</Lines>
  <Paragraphs>0</Paragraphs>
  <TotalTime>0</TotalTime>
  <ScaleCrop>false</ScaleCrop>
  <LinksUpToDate>false</LinksUpToDate>
  <CharactersWithSpaces>665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2023-10-30T11:23:00Z</dcterms:created>
  <dc:creator>Tillytilly</dc:creator>
  <cp:lastModifiedBy>Tillytilly</cp:lastModifiedBy>
  <dcterms:modified xsi:type="dcterms:W3CDTF">2024-08-27T01:48:50Z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2CC636F2FCD747E4A4C85A03B0C41ACD_11</vt:lpwstr>
  </property>
</Properties>
</file>