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592F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黑体" w:hAnsi="黑体" w:eastAsia="黑体" w:cs="黑体"/>
          <w:spacing w:val="-20"/>
          <w:sz w:val="24"/>
          <w:szCs w:val="24"/>
          <w:lang w:val="en-US" w:eastAsia="zh-CN"/>
        </w:rPr>
      </w:pPr>
      <w:r>
        <w:rPr>
          <w:rFonts w:hint="eastAsia" w:ascii="黑体" w:hAnsi="黑体" w:eastAsia="黑体" w:cs="黑体"/>
          <w:spacing w:val="-20"/>
          <w:sz w:val="24"/>
          <w:szCs w:val="24"/>
          <w:lang w:val="en-US" w:eastAsia="zh-CN"/>
        </w:rPr>
        <w:t>附件3-3</w:t>
      </w:r>
    </w:p>
    <w:p w14:paraId="2272DF76">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方正小标宋简体" w:hAnsi="黑体" w:eastAsia="方正小标宋简体"/>
          <w:spacing w:val="-20"/>
          <w:sz w:val="44"/>
          <w:szCs w:val="44"/>
          <w:lang w:val="en-US" w:eastAsia="zh-CN"/>
        </w:rPr>
      </w:pPr>
      <w:r>
        <w:rPr>
          <w:rFonts w:hint="eastAsia" w:ascii="方正小标宋简体" w:hAnsi="黑体" w:eastAsia="方正小标宋简体"/>
          <w:spacing w:val="-20"/>
          <w:sz w:val="44"/>
          <w:szCs w:val="44"/>
          <w:lang w:val="en-US" w:eastAsia="zh-CN"/>
        </w:rPr>
        <w:t>本科教育教学审核评估指标体系可选项</w:t>
      </w:r>
    </w:p>
    <w:p w14:paraId="53F2A8A5">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方正小标宋简体" w:hAnsi="黑体" w:eastAsia="方正小标宋简体"/>
          <w:spacing w:val="-20"/>
          <w:sz w:val="44"/>
          <w:szCs w:val="44"/>
          <w:lang w:val="en-US" w:eastAsia="zh-CN"/>
        </w:rPr>
      </w:pPr>
      <w:r>
        <w:rPr>
          <w:rFonts w:hint="eastAsia" w:ascii="方正小标宋简体" w:hAnsi="黑体" w:eastAsia="方正小标宋简体"/>
          <w:spacing w:val="-20"/>
          <w:sz w:val="44"/>
          <w:szCs w:val="44"/>
          <w:lang w:val="en-US" w:eastAsia="zh-CN"/>
        </w:rPr>
        <w:t>分部门（单位）汇总</w:t>
      </w:r>
    </w:p>
    <w:p w14:paraId="3FCADF3B">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default" w:ascii="方正小标宋简体" w:hAnsi="方正小标宋简体" w:eastAsia="方正小标宋简体" w:cs="方正小标宋简体"/>
          <w:b w:val="0"/>
          <w:bCs w:val="0"/>
          <w:spacing w:val="0"/>
          <w:sz w:val="28"/>
          <w:szCs w:val="28"/>
          <w:lang w:val="en-US" w:eastAsia="zh-CN"/>
        </w:rPr>
      </w:pPr>
      <w:r>
        <w:rPr>
          <w:rFonts w:hint="eastAsia" w:ascii="方正小标宋简体" w:hAnsi="方正小标宋简体" w:eastAsia="方正小标宋简体" w:cs="方正小标宋简体"/>
          <w:b w:val="0"/>
          <w:bCs w:val="0"/>
          <w:spacing w:val="0"/>
          <w:sz w:val="28"/>
          <w:szCs w:val="28"/>
          <w:lang w:val="en-US" w:eastAsia="zh-CN"/>
        </w:rPr>
        <w:t xml:space="preserve"> （科研处）</w:t>
      </w:r>
    </w:p>
    <w:p w14:paraId="10370B93">
      <w:pPr>
        <w:keepNext w:val="0"/>
        <w:keepLines w:val="0"/>
        <w:pageBreakBefore w:val="0"/>
        <w:widowControl w:val="0"/>
        <w:numPr>
          <w:ilvl w:val="0"/>
          <w:numId w:val="1"/>
        </w:numPr>
        <w:kinsoku/>
        <w:wordWrap/>
        <w:overflowPunct/>
        <w:topLinePunct w:val="0"/>
        <w:autoSpaceDE/>
        <w:autoSpaceDN/>
        <w:bidi w:val="0"/>
        <w:adjustRightInd/>
        <w:snapToGrid/>
        <w:spacing w:after="157" w:afterLines="50" w:line="560" w:lineRule="exact"/>
        <w:textAlignment w:val="auto"/>
        <w:rPr>
          <w:rFonts w:hint="eastAsia" w:ascii="Times New Roman" w:hAnsi="Times New Roman" w:eastAsia="黑体"/>
          <w:sz w:val="30"/>
          <w:szCs w:val="30"/>
        </w:rPr>
      </w:pPr>
      <w:r>
        <w:rPr>
          <w:rFonts w:hint="eastAsia" w:ascii="Times New Roman" w:hAnsi="Times New Roman" w:eastAsia="黑体"/>
          <w:sz w:val="30"/>
          <w:szCs w:val="30"/>
          <w:lang w:val="en-US" w:eastAsia="zh-CN"/>
        </w:rPr>
        <w:t>定性指标</w:t>
      </w:r>
      <w:r>
        <w:rPr>
          <w:rFonts w:hint="eastAsia" w:ascii="Times New Roman" w:hAnsi="Times New Roman" w:eastAsia="黑体"/>
          <w:sz w:val="30"/>
          <w:szCs w:val="30"/>
        </w:rPr>
        <w:t>特色</w:t>
      </w:r>
      <w:r>
        <w:rPr>
          <w:rFonts w:hint="eastAsia" w:ascii="Times New Roman" w:hAnsi="Times New Roman" w:eastAsia="黑体"/>
          <w:sz w:val="30"/>
          <w:szCs w:val="30"/>
          <w:lang w:val="en-US" w:eastAsia="zh-CN"/>
        </w:rPr>
        <w:t>可</w:t>
      </w:r>
      <w:r>
        <w:rPr>
          <w:rFonts w:hint="eastAsia" w:ascii="Times New Roman" w:hAnsi="Times New Roman" w:eastAsia="黑体"/>
          <w:sz w:val="30"/>
          <w:szCs w:val="30"/>
        </w:rPr>
        <w:t>选项</w:t>
      </w:r>
    </w:p>
    <w:tbl>
      <w:tblPr>
        <w:tblStyle w:val="2"/>
        <w:tblW w:w="49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795"/>
        <w:gridCol w:w="930"/>
        <w:gridCol w:w="6671"/>
      </w:tblGrid>
      <w:tr w14:paraId="175A9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blHeader/>
          <w:jc w:val="center"/>
        </w:trPr>
        <w:tc>
          <w:tcPr>
            <w:tcW w:w="423" w:type="pct"/>
            <w:shd w:val="clear" w:color="auto" w:fill="auto"/>
            <w:vAlign w:val="center"/>
          </w:tcPr>
          <w:p w14:paraId="2CE20C5D">
            <w:pPr>
              <w:spacing w:line="0" w:lineRule="atLeast"/>
              <w:jc w:val="center"/>
              <w:rPr>
                <w:b/>
              </w:rPr>
            </w:pPr>
            <w:r>
              <w:rPr>
                <w:rFonts w:hint="eastAsia"/>
                <w:b/>
              </w:rPr>
              <w:t>一级指标</w:t>
            </w:r>
          </w:p>
        </w:tc>
        <w:tc>
          <w:tcPr>
            <w:tcW w:w="433" w:type="pct"/>
            <w:shd w:val="clear" w:color="auto" w:fill="auto"/>
            <w:vAlign w:val="center"/>
          </w:tcPr>
          <w:p w14:paraId="666A9723">
            <w:pPr>
              <w:spacing w:line="0" w:lineRule="atLeast"/>
              <w:jc w:val="center"/>
              <w:rPr>
                <w:b/>
              </w:rPr>
            </w:pPr>
            <w:r>
              <w:rPr>
                <w:rFonts w:hint="eastAsia"/>
                <w:b/>
              </w:rPr>
              <w:t>二级指标</w:t>
            </w:r>
          </w:p>
        </w:tc>
        <w:tc>
          <w:tcPr>
            <w:tcW w:w="4143" w:type="pct"/>
            <w:gridSpan w:val="2"/>
            <w:shd w:val="clear" w:color="auto" w:fill="auto"/>
            <w:vAlign w:val="center"/>
          </w:tcPr>
          <w:p w14:paraId="764FD39B">
            <w:pPr>
              <w:spacing w:line="0" w:lineRule="atLeast"/>
              <w:jc w:val="center"/>
              <w:rPr>
                <w:b/>
              </w:rPr>
            </w:pPr>
            <w:r>
              <w:rPr>
                <w:rFonts w:hint="eastAsia"/>
                <w:b/>
              </w:rPr>
              <w:t>审核重点</w:t>
            </w:r>
          </w:p>
        </w:tc>
      </w:tr>
      <w:tr w14:paraId="2F2C6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3" w:type="pct"/>
            <w:vMerge w:val="restart"/>
            <w:shd w:val="clear" w:color="auto" w:fill="auto"/>
            <w:vAlign w:val="center"/>
          </w:tcPr>
          <w:p w14:paraId="7E70EC42">
            <w:pPr>
              <w:spacing w:line="0" w:lineRule="atLeast"/>
              <w:jc w:val="center"/>
            </w:pPr>
            <w:r>
              <w:rPr>
                <w:rFonts w:hint="eastAsia"/>
              </w:rPr>
              <w:t>3</w:t>
            </w:r>
            <w:r>
              <w:t>.</w:t>
            </w:r>
          </w:p>
          <w:p w14:paraId="770D43EB">
            <w:pPr>
              <w:spacing w:line="0" w:lineRule="atLeast"/>
              <w:jc w:val="center"/>
            </w:pPr>
            <w:r>
              <w:rPr>
                <w:rFonts w:hint="eastAsia"/>
              </w:rPr>
              <w:t>教学</w:t>
            </w:r>
            <w:r>
              <w:t>资源</w:t>
            </w:r>
            <w:r>
              <w:rPr>
                <w:rFonts w:hint="eastAsia"/>
              </w:rPr>
              <w:t>与利用</w:t>
            </w:r>
          </w:p>
        </w:tc>
        <w:tc>
          <w:tcPr>
            <w:tcW w:w="433" w:type="pct"/>
            <w:vMerge w:val="restart"/>
            <w:shd w:val="clear" w:color="auto" w:fill="auto"/>
            <w:vAlign w:val="center"/>
          </w:tcPr>
          <w:p w14:paraId="42E16278">
            <w:pPr>
              <w:spacing w:line="0" w:lineRule="atLeast"/>
              <w:jc w:val="center"/>
            </w:pPr>
            <w:r>
              <w:t>3.</w:t>
            </w:r>
          </w:p>
          <w:p w14:paraId="47A630FB">
            <w:pPr>
              <w:spacing w:line="0" w:lineRule="atLeast"/>
              <w:jc w:val="center"/>
            </w:pPr>
            <w:r>
              <w:t>资源建设</w:t>
            </w:r>
          </w:p>
        </w:tc>
        <w:tc>
          <w:tcPr>
            <w:tcW w:w="506" w:type="pct"/>
            <w:shd w:val="clear" w:color="auto" w:fill="E3F2D9" w:themeFill="accent4" w:themeFillTint="32"/>
            <w:vAlign w:val="center"/>
          </w:tcPr>
          <w:p w14:paraId="5C08B7AA">
            <w:pPr>
              <w:spacing w:line="0" w:lineRule="atLeast"/>
            </w:pPr>
            <w:r>
              <w:rPr>
                <w:rFonts w:hint="eastAsia"/>
              </w:rPr>
              <w:t>K 3.</w:t>
            </w:r>
            <w:r>
              <w:t>2</w:t>
            </w:r>
            <w:r>
              <w:rPr>
                <w:rFonts w:hint="eastAsia"/>
              </w:rPr>
              <w:t>.</w:t>
            </w:r>
            <w:r>
              <w:t>4</w:t>
            </w:r>
          </w:p>
        </w:tc>
        <w:tc>
          <w:tcPr>
            <w:tcW w:w="3636" w:type="pct"/>
            <w:shd w:val="clear" w:color="auto" w:fill="E3F2D9" w:themeFill="accent4" w:themeFillTint="32"/>
            <w:vAlign w:val="center"/>
          </w:tcPr>
          <w:p w14:paraId="51699EE7">
            <w:pPr>
              <w:spacing w:line="0" w:lineRule="atLeast"/>
              <w:jc w:val="both"/>
            </w:pPr>
            <w:r>
              <w:t>K</w:t>
            </w:r>
            <w:r>
              <w:rPr>
                <w:rFonts w:hint="eastAsia"/>
              </w:rPr>
              <w:t>2</w:t>
            </w:r>
            <w:r>
              <w:t xml:space="preserve"> </w:t>
            </w:r>
            <w:r>
              <w:rPr>
                <w:rFonts w:hint="eastAsia"/>
              </w:rPr>
              <w:t>产业技术发展成果、产学研合作项目转化为教学资源情况</w:t>
            </w:r>
          </w:p>
        </w:tc>
      </w:tr>
      <w:tr w14:paraId="619B7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0" w:hRule="atLeast"/>
          <w:jc w:val="center"/>
        </w:trPr>
        <w:tc>
          <w:tcPr>
            <w:tcW w:w="423" w:type="pct"/>
            <w:vMerge w:val="continue"/>
            <w:shd w:val="clear" w:color="auto" w:fill="auto"/>
            <w:vAlign w:val="center"/>
          </w:tcPr>
          <w:p w14:paraId="21DF29EF">
            <w:pPr>
              <w:spacing w:line="0" w:lineRule="atLeast"/>
              <w:jc w:val="center"/>
              <w:rPr>
                <w:rFonts w:hint="eastAsia"/>
              </w:rPr>
            </w:pPr>
          </w:p>
        </w:tc>
        <w:tc>
          <w:tcPr>
            <w:tcW w:w="433" w:type="pct"/>
            <w:vMerge w:val="continue"/>
            <w:shd w:val="clear" w:color="auto" w:fill="auto"/>
            <w:vAlign w:val="center"/>
          </w:tcPr>
          <w:p w14:paraId="735FD640">
            <w:pPr>
              <w:spacing w:line="0" w:lineRule="atLeast"/>
              <w:jc w:val="center"/>
            </w:pPr>
          </w:p>
        </w:tc>
        <w:tc>
          <w:tcPr>
            <w:tcW w:w="4143" w:type="pct"/>
            <w:gridSpan w:val="2"/>
            <w:shd w:val="clear" w:color="auto" w:fill="auto"/>
            <w:vAlign w:val="top"/>
          </w:tcPr>
          <w:p w14:paraId="5584FCEF">
            <w:pPr>
              <w:spacing w:line="0" w:lineRule="atLeast"/>
              <w:jc w:val="both"/>
              <w:rPr>
                <w:rFonts w:hint="eastAsia"/>
                <w:lang w:val="en-US" w:eastAsia="zh-CN"/>
              </w:rPr>
            </w:pPr>
            <w:r>
              <w:rPr>
                <w:rFonts w:hint="eastAsia"/>
                <w:lang w:val="en-US" w:eastAsia="zh-CN"/>
              </w:rPr>
              <w:t>该项指标是否建议选择（）</w:t>
            </w:r>
          </w:p>
          <w:p w14:paraId="73BF4F11">
            <w:pPr>
              <w:spacing w:line="0" w:lineRule="atLeast"/>
              <w:jc w:val="both"/>
              <w:rPr>
                <w:rFonts w:hint="default"/>
                <w:lang w:val="en-US" w:eastAsia="zh-CN"/>
              </w:rPr>
            </w:pPr>
            <w:r>
              <w:rPr>
                <w:rFonts w:hint="eastAsia"/>
                <w:lang w:val="en-US" w:eastAsia="zh-CN"/>
              </w:rPr>
              <w:t>论证理由：</w:t>
            </w:r>
          </w:p>
          <w:p w14:paraId="2D3BF72A">
            <w:pPr>
              <w:spacing w:line="0" w:lineRule="atLeast"/>
              <w:jc w:val="both"/>
            </w:pPr>
          </w:p>
        </w:tc>
      </w:tr>
    </w:tbl>
    <w:p w14:paraId="0F6B6AED">
      <w:pPr>
        <w:keepNext w:val="0"/>
        <w:keepLines w:val="0"/>
        <w:pageBreakBefore w:val="0"/>
        <w:widowControl w:val="0"/>
        <w:numPr>
          <w:ilvl w:val="0"/>
          <w:numId w:val="1"/>
        </w:numPr>
        <w:kinsoku/>
        <w:wordWrap/>
        <w:overflowPunct/>
        <w:topLinePunct w:val="0"/>
        <w:autoSpaceDE/>
        <w:autoSpaceDN/>
        <w:bidi w:val="0"/>
        <w:adjustRightInd/>
        <w:snapToGrid/>
        <w:spacing w:after="157" w:afterLines="50" w:line="560" w:lineRule="exact"/>
        <w:textAlignment w:val="auto"/>
        <w:rPr>
          <w:rFonts w:hint="eastAsia" w:ascii="Times New Roman" w:hAnsi="Times New Roman" w:eastAsia="黑体"/>
          <w:sz w:val="30"/>
          <w:szCs w:val="30"/>
        </w:rPr>
      </w:pPr>
      <w:r>
        <w:rPr>
          <w:rFonts w:hint="eastAsia" w:ascii="Times New Roman" w:hAnsi="Times New Roman" w:eastAsia="黑体"/>
          <w:sz w:val="30"/>
          <w:szCs w:val="30"/>
          <w:lang w:val="en-US" w:eastAsia="zh-CN"/>
        </w:rPr>
        <w:t>定量指标可选项</w:t>
      </w:r>
    </w:p>
    <w:tbl>
      <w:tblPr>
        <w:tblStyle w:val="2"/>
        <w:tblW w:w="4951" w:type="pct"/>
        <w:tblInd w:w="87" w:type="dxa"/>
        <w:tblLayout w:type="autofit"/>
        <w:tblCellMar>
          <w:top w:w="0" w:type="dxa"/>
          <w:left w:w="108" w:type="dxa"/>
          <w:bottom w:w="0" w:type="dxa"/>
          <w:right w:w="108" w:type="dxa"/>
        </w:tblCellMar>
      </w:tblPr>
      <w:tblGrid>
        <w:gridCol w:w="544"/>
        <w:gridCol w:w="520"/>
        <w:gridCol w:w="4634"/>
        <w:gridCol w:w="690"/>
        <w:gridCol w:w="902"/>
        <w:gridCol w:w="856"/>
        <w:gridCol w:w="1051"/>
      </w:tblGrid>
      <w:tr w14:paraId="5847AA1A">
        <w:tblPrEx>
          <w:tblCellMar>
            <w:top w:w="0" w:type="dxa"/>
            <w:left w:w="108" w:type="dxa"/>
            <w:bottom w:w="0" w:type="dxa"/>
            <w:right w:w="108" w:type="dxa"/>
          </w:tblCellMar>
        </w:tblPrEx>
        <w:trPr>
          <w:trHeight w:val="280" w:hRule="atLeast"/>
          <w:tblHeader/>
        </w:trPr>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14D621D9">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一级</w:t>
            </w:r>
          </w:p>
          <w:p w14:paraId="47EE0E3B">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指标</w:t>
            </w:r>
          </w:p>
        </w:tc>
        <w:tc>
          <w:tcPr>
            <w:tcW w:w="283" w:type="pct"/>
            <w:tcBorders>
              <w:top w:val="single" w:color="auto" w:sz="4" w:space="0"/>
              <w:left w:val="single" w:color="auto" w:sz="4" w:space="0"/>
              <w:bottom w:val="single" w:color="auto" w:sz="4" w:space="0"/>
              <w:right w:val="single" w:color="auto" w:sz="4" w:space="0"/>
            </w:tcBorders>
            <w:shd w:val="clear" w:color="auto" w:fill="auto"/>
            <w:vAlign w:val="center"/>
          </w:tcPr>
          <w:p w14:paraId="772C99DD">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二级</w:t>
            </w:r>
          </w:p>
          <w:p w14:paraId="7A5314E8">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指标</w:t>
            </w:r>
          </w:p>
        </w:tc>
        <w:tc>
          <w:tcPr>
            <w:tcW w:w="2519" w:type="pct"/>
            <w:tcBorders>
              <w:top w:val="single" w:color="auto" w:sz="4" w:space="0"/>
              <w:left w:val="nil"/>
              <w:bottom w:val="single" w:color="auto" w:sz="4" w:space="0"/>
              <w:right w:val="single" w:color="auto" w:sz="4" w:space="0"/>
            </w:tcBorders>
            <w:shd w:val="clear" w:color="auto" w:fill="auto"/>
            <w:vAlign w:val="center"/>
          </w:tcPr>
          <w:p w14:paraId="5C34E10C">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10"/>
                <w:kern w:val="0"/>
                <w:sz w:val="24"/>
                <w:szCs w:val="24"/>
              </w:rPr>
              <w:t>指标内容</w:t>
            </w:r>
          </w:p>
        </w:tc>
        <w:tc>
          <w:tcPr>
            <w:tcW w:w="375" w:type="pct"/>
            <w:tcBorders>
              <w:top w:val="single" w:color="auto" w:sz="4" w:space="0"/>
              <w:left w:val="nil"/>
              <w:bottom w:val="single" w:color="auto" w:sz="4" w:space="0"/>
              <w:right w:val="single" w:color="auto" w:sz="4" w:space="0"/>
            </w:tcBorders>
            <w:shd w:val="clear" w:color="000000" w:fill="FFFFFF"/>
            <w:vAlign w:val="center"/>
          </w:tcPr>
          <w:p w14:paraId="13ACE678">
            <w:pPr>
              <w:widowControl/>
              <w:spacing w:line="0" w:lineRule="atLeast"/>
              <w:jc w:val="center"/>
              <w:rPr>
                <w:rFonts w:ascii="黑体" w:hAnsi="黑体" w:eastAsia="黑体" w:cs="宋体"/>
                <w:spacing w:val="-20"/>
                <w:kern w:val="0"/>
                <w:sz w:val="24"/>
                <w:szCs w:val="24"/>
              </w:rPr>
            </w:pPr>
            <w:r>
              <w:rPr>
                <w:rFonts w:hint="eastAsia" w:ascii="黑体" w:hAnsi="黑体" w:eastAsia="黑体" w:cs="宋体"/>
                <w:spacing w:val="-20"/>
                <w:kern w:val="0"/>
                <w:sz w:val="24"/>
                <w:szCs w:val="24"/>
              </w:rPr>
              <w:t>我校</w:t>
            </w:r>
          </w:p>
          <w:p w14:paraId="44F9FDBA">
            <w:pPr>
              <w:widowControl/>
              <w:spacing w:line="0" w:lineRule="atLeast"/>
              <w:jc w:val="center"/>
              <w:rPr>
                <w:rFonts w:ascii="黑体" w:hAnsi="黑体" w:eastAsia="黑体" w:cs="宋体"/>
                <w:spacing w:val="-10"/>
                <w:kern w:val="0"/>
                <w:sz w:val="24"/>
                <w:szCs w:val="24"/>
              </w:rPr>
            </w:pPr>
            <w:r>
              <w:rPr>
                <w:rFonts w:hint="eastAsia" w:ascii="黑体" w:hAnsi="黑体" w:eastAsia="黑体" w:cs="宋体"/>
                <w:spacing w:val="-20"/>
                <w:kern w:val="0"/>
                <w:sz w:val="24"/>
                <w:szCs w:val="24"/>
              </w:rPr>
              <w:t>数据</w:t>
            </w:r>
          </w:p>
        </w:tc>
        <w:tc>
          <w:tcPr>
            <w:tcW w:w="490" w:type="pct"/>
            <w:tcBorders>
              <w:top w:val="single" w:color="auto" w:sz="4" w:space="0"/>
              <w:left w:val="nil"/>
              <w:bottom w:val="single" w:color="auto" w:sz="4" w:space="0"/>
              <w:right w:val="single" w:color="auto" w:sz="4" w:space="0"/>
            </w:tcBorders>
            <w:vAlign w:val="center"/>
          </w:tcPr>
          <w:p w14:paraId="775736D8">
            <w:pPr>
              <w:widowControl/>
              <w:spacing w:line="0" w:lineRule="atLeast"/>
              <w:jc w:val="center"/>
              <w:rPr>
                <w:rFonts w:hint="eastAsia" w:ascii="黑体" w:hAnsi="黑体" w:eastAsia="黑体" w:cs="宋体"/>
                <w:spacing w:val="-10"/>
                <w:kern w:val="0"/>
                <w:sz w:val="24"/>
                <w:szCs w:val="24"/>
                <w:lang w:eastAsia="zh-CN"/>
              </w:rPr>
            </w:pPr>
            <w:r>
              <w:rPr>
                <w:rFonts w:hint="eastAsia" w:ascii="黑体" w:hAnsi="黑体" w:eastAsia="黑体" w:cs="宋体"/>
                <w:spacing w:val="-10"/>
                <w:kern w:val="0"/>
                <w:sz w:val="24"/>
                <w:szCs w:val="24"/>
                <w:lang w:val="en-US" w:eastAsia="zh-CN"/>
              </w:rPr>
              <w:t>辽宁省常模</w:t>
            </w:r>
          </w:p>
        </w:tc>
        <w:tc>
          <w:tcPr>
            <w:tcW w:w="465" w:type="pct"/>
            <w:tcBorders>
              <w:top w:val="single" w:color="auto" w:sz="4" w:space="0"/>
              <w:left w:val="nil"/>
              <w:bottom w:val="single" w:color="auto" w:sz="4" w:space="0"/>
              <w:right w:val="single" w:color="auto" w:sz="4" w:space="0"/>
            </w:tcBorders>
            <w:vAlign w:val="center"/>
          </w:tcPr>
          <w:p w14:paraId="59C65FA9">
            <w:pPr>
              <w:widowControl/>
              <w:spacing w:line="0" w:lineRule="atLeast"/>
              <w:jc w:val="center"/>
              <w:rPr>
                <w:rFonts w:hint="eastAsia" w:ascii="黑体" w:hAnsi="黑体" w:eastAsia="黑体" w:cs="宋体"/>
                <w:spacing w:val="-10"/>
                <w:kern w:val="0"/>
                <w:sz w:val="24"/>
                <w:szCs w:val="24"/>
                <w:lang w:val="en-US" w:eastAsia="zh-CN"/>
              </w:rPr>
            </w:pPr>
            <w:r>
              <w:rPr>
                <w:rFonts w:hint="eastAsia" w:ascii="黑体" w:hAnsi="黑体" w:eastAsia="黑体" w:cs="宋体"/>
                <w:spacing w:val="-10"/>
                <w:kern w:val="0"/>
                <w:sz w:val="24"/>
                <w:szCs w:val="24"/>
                <w:lang w:val="en-US" w:eastAsia="zh-CN"/>
              </w:rPr>
              <w:t>全国常模</w:t>
            </w:r>
          </w:p>
        </w:tc>
        <w:tc>
          <w:tcPr>
            <w:tcW w:w="569" w:type="pct"/>
            <w:tcBorders>
              <w:top w:val="single" w:color="auto" w:sz="4" w:space="0"/>
              <w:left w:val="nil"/>
              <w:bottom w:val="single" w:color="auto" w:sz="4" w:space="0"/>
              <w:right w:val="single" w:color="auto" w:sz="4" w:space="0"/>
            </w:tcBorders>
            <w:vAlign w:val="center"/>
          </w:tcPr>
          <w:p w14:paraId="761C0C3A">
            <w:pPr>
              <w:widowControl/>
              <w:spacing w:line="0" w:lineRule="atLeast"/>
              <w:jc w:val="center"/>
              <w:rPr>
                <w:rFonts w:hint="eastAsia" w:ascii="黑体" w:hAnsi="黑体" w:eastAsia="黑体" w:cs="宋体"/>
                <w:spacing w:val="-10"/>
                <w:kern w:val="0"/>
                <w:sz w:val="24"/>
                <w:szCs w:val="24"/>
                <w:lang w:val="en-US" w:eastAsia="zh-CN"/>
              </w:rPr>
            </w:pPr>
            <w:r>
              <w:rPr>
                <w:rFonts w:hint="eastAsia" w:ascii="黑体" w:hAnsi="黑体" w:eastAsia="黑体" w:cs="宋体"/>
                <w:spacing w:val="-10"/>
                <w:kern w:val="0"/>
                <w:sz w:val="24"/>
                <w:szCs w:val="24"/>
                <w:lang w:val="en-US" w:eastAsia="zh-CN"/>
              </w:rPr>
              <w:t>师范类常模</w:t>
            </w:r>
          </w:p>
        </w:tc>
      </w:tr>
      <w:tr w14:paraId="4CED87FD">
        <w:tblPrEx>
          <w:tblCellMar>
            <w:top w:w="0" w:type="dxa"/>
            <w:left w:w="108" w:type="dxa"/>
            <w:bottom w:w="0" w:type="dxa"/>
            <w:right w:w="108" w:type="dxa"/>
          </w:tblCellMar>
        </w:tblPrEx>
        <w:trPr>
          <w:trHeight w:val="471" w:hRule="atLeast"/>
        </w:trPr>
        <w:tc>
          <w:tcPr>
            <w:tcW w:w="296" w:type="pct"/>
            <w:vMerge w:val="restart"/>
            <w:tcBorders>
              <w:top w:val="single" w:color="auto" w:sz="4" w:space="0"/>
              <w:left w:val="single" w:color="auto" w:sz="4" w:space="0"/>
              <w:right w:val="single" w:color="auto" w:sz="4" w:space="0"/>
            </w:tcBorders>
            <w:shd w:val="clear" w:color="auto" w:fill="auto"/>
            <w:vAlign w:val="center"/>
          </w:tcPr>
          <w:p w14:paraId="5DFC44C0">
            <w:pPr>
              <w:widowControl/>
              <w:spacing w:line="0" w:lineRule="atLeast"/>
              <w:jc w:val="center"/>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2.</w:t>
            </w:r>
          </w:p>
          <w:p w14:paraId="31D71EE3">
            <w:pPr>
              <w:widowControl/>
              <w:spacing w:line="0" w:lineRule="atLeast"/>
              <w:jc w:val="center"/>
              <w:rPr>
                <w:rFonts w:ascii="宋体" w:hAnsi="宋体" w:eastAsia="宋体" w:cs="宋体"/>
                <w:spacing w:val="-20"/>
                <w:kern w:val="0"/>
                <w:sz w:val="21"/>
                <w:szCs w:val="21"/>
              </w:rPr>
            </w:pPr>
            <w:r>
              <w:rPr>
                <w:rFonts w:hint="eastAsia" w:ascii="宋体" w:hAnsi="宋体" w:eastAsia="宋体" w:cs="宋体"/>
                <w:spacing w:val="-20"/>
                <w:kern w:val="0"/>
                <w:sz w:val="21"/>
                <w:szCs w:val="21"/>
              </w:rPr>
              <w:t>培养过程</w:t>
            </w:r>
          </w:p>
        </w:tc>
        <w:tc>
          <w:tcPr>
            <w:tcW w:w="283" w:type="pct"/>
            <w:vMerge w:val="restart"/>
            <w:tcBorders>
              <w:top w:val="nil"/>
              <w:left w:val="nil"/>
              <w:right w:val="single" w:color="auto" w:sz="4" w:space="0"/>
            </w:tcBorders>
            <w:shd w:val="clear" w:color="auto" w:fill="auto"/>
            <w:vAlign w:val="center"/>
          </w:tcPr>
          <w:p w14:paraId="207FC9BB">
            <w:pPr>
              <w:widowControl/>
              <w:spacing w:line="0" w:lineRule="atLeast"/>
              <w:jc w:val="center"/>
              <w:rPr>
                <w:rFonts w:ascii="宋体" w:hAnsi="宋体" w:eastAsia="宋体" w:cs="宋体"/>
                <w:spacing w:val="-20"/>
                <w:kern w:val="0"/>
                <w:sz w:val="21"/>
                <w:szCs w:val="21"/>
              </w:rPr>
            </w:pPr>
            <w:r>
              <w:rPr>
                <w:rFonts w:hint="eastAsia" w:ascii="宋体" w:hAnsi="宋体" w:eastAsia="宋体" w:cs="宋体"/>
                <w:spacing w:val="-20"/>
                <w:kern w:val="0"/>
                <w:sz w:val="21"/>
                <w:szCs w:val="21"/>
              </w:rPr>
              <w:t>2.4课堂教学</w:t>
            </w:r>
          </w:p>
        </w:tc>
        <w:tc>
          <w:tcPr>
            <w:tcW w:w="2519" w:type="pct"/>
            <w:tcBorders>
              <w:top w:val="nil"/>
              <w:left w:val="nil"/>
              <w:bottom w:val="single" w:color="auto" w:sz="4" w:space="0"/>
              <w:right w:val="single" w:color="auto" w:sz="4" w:space="0"/>
            </w:tcBorders>
            <w:shd w:val="clear" w:color="auto" w:fill="E3F2D9" w:themeFill="accent4" w:themeFillTint="32"/>
            <w:vAlign w:val="center"/>
          </w:tcPr>
          <w:p w14:paraId="0880C651">
            <w:pPr>
              <w:widowControl/>
              <w:spacing w:line="0" w:lineRule="atLeast"/>
              <w:jc w:val="left"/>
              <w:rPr>
                <w:rFonts w:ascii="宋体" w:hAnsi="宋体" w:eastAsia="宋体" w:cs="宋体"/>
                <w:kern w:val="0"/>
                <w:sz w:val="21"/>
                <w:szCs w:val="21"/>
              </w:rPr>
            </w:pPr>
            <w:r>
              <w:rPr>
                <w:rFonts w:hint="eastAsia" w:ascii="宋体" w:hAnsi="宋体" w:eastAsia="宋体" w:cs="宋体"/>
                <w:kern w:val="0"/>
                <w:sz w:val="21"/>
                <w:szCs w:val="21"/>
              </w:rPr>
              <w:t>【可选</w:t>
            </w: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】近五年公开出版的教材数</w:t>
            </w:r>
          </w:p>
        </w:tc>
        <w:tc>
          <w:tcPr>
            <w:tcW w:w="375" w:type="pct"/>
            <w:tcBorders>
              <w:top w:val="nil"/>
              <w:left w:val="nil"/>
              <w:bottom w:val="single" w:color="auto" w:sz="4" w:space="0"/>
              <w:right w:val="single" w:color="auto" w:sz="4" w:space="0"/>
            </w:tcBorders>
            <w:shd w:val="clear" w:color="auto" w:fill="E3F2D9" w:themeFill="accent4" w:themeFillTint="32"/>
            <w:vAlign w:val="center"/>
          </w:tcPr>
          <w:p w14:paraId="57EBD889">
            <w:pPr>
              <w:widowControl/>
              <w:spacing w:line="0" w:lineRule="atLeast"/>
              <w:jc w:val="center"/>
              <w:rPr>
                <w:rFonts w:hint="default" w:ascii="宋体" w:hAnsi="宋体" w:eastAsia="宋体" w:cs="宋体"/>
                <w:spacing w:val="-20"/>
                <w:kern w:val="0"/>
                <w:sz w:val="21"/>
                <w:szCs w:val="21"/>
                <w:lang w:val="en-US" w:eastAsia="zh-CN"/>
              </w:rPr>
            </w:pPr>
            <w:r>
              <w:rPr>
                <w:rFonts w:hint="eastAsia" w:ascii="宋体" w:hAnsi="宋体" w:eastAsia="宋体" w:cs="宋体"/>
                <w:spacing w:val="-20"/>
                <w:kern w:val="0"/>
                <w:sz w:val="21"/>
                <w:szCs w:val="21"/>
                <w:lang w:val="en-US" w:eastAsia="zh-CN"/>
              </w:rPr>
              <w:t>121</w:t>
            </w:r>
          </w:p>
        </w:tc>
        <w:tc>
          <w:tcPr>
            <w:tcW w:w="490" w:type="pct"/>
            <w:tcBorders>
              <w:top w:val="single" w:color="auto" w:sz="4" w:space="0"/>
              <w:left w:val="nil"/>
              <w:bottom w:val="single" w:color="auto" w:sz="4" w:space="0"/>
              <w:right w:val="single" w:color="auto" w:sz="4" w:space="0"/>
            </w:tcBorders>
            <w:shd w:val="clear" w:color="auto" w:fill="E3F2D9" w:themeFill="accent4" w:themeFillTint="32"/>
            <w:vAlign w:val="center"/>
          </w:tcPr>
          <w:p w14:paraId="43FFD973">
            <w:pPr>
              <w:widowControl/>
              <w:spacing w:line="0" w:lineRule="atLeast"/>
              <w:jc w:val="center"/>
              <w:rPr>
                <w:rFonts w:hint="default" w:ascii="宋体" w:hAnsi="宋体" w:eastAsia="宋体" w:cs="宋体"/>
                <w:spacing w:val="-20"/>
                <w:kern w:val="0"/>
                <w:sz w:val="21"/>
                <w:szCs w:val="21"/>
                <w:lang w:val="en-US" w:eastAsia="zh-CN"/>
              </w:rPr>
            </w:pPr>
            <w:r>
              <w:rPr>
                <w:rFonts w:hint="eastAsia" w:ascii="宋体" w:hAnsi="宋体" w:eastAsia="宋体" w:cs="宋体"/>
                <w:spacing w:val="-20"/>
                <w:kern w:val="0"/>
                <w:sz w:val="21"/>
                <w:szCs w:val="21"/>
                <w:lang w:val="en-US" w:eastAsia="zh-CN"/>
              </w:rPr>
              <w:t>56.68</w:t>
            </w:r>
          </w:p>
        </w:tc>
        <w:tc>
          <w:tcPr>
            <w:tcW w:w="465" w:type="pct"/>
            <w:tcBorders>
              <w:top w:val="single" w:color="auto" w:sz="4" w:space="0"/>
              <w:left w:val="nil"/>
              <w:bottom w:val="single" w:color="auto" w:sz="4" w:space="0"/>
              <w:right w:val="single" w:color="auto" w:sz="4" w:space="0"/>
            </w:tcBorders>
            <w:shd w:val="clear" w:color="auto" w:fill="E3F2D9" w:themeFill="accent4" w:themeFillTint="32"/>
            <w:vAlign w:val="center"/>
          </w:tcPr>
          <w:p w14:paraId="2149B38B">
            <w:pPr>
              <w:widowControl/>
              <w:spacing w:line="0" w:lineRule="atLeast"/>
              <w:jc w:val="center"/>
              <w:rPr>
                <w:rFonts w:hint="default" w:ascii="宋体" w:hAnsi="宋体" w:eastAsia="宋体" w:cs="宋体"/>
                <w:spacing w:val="-20"/>
                <w:kern w:val="0"/>
                <w:sz w:val="21"/>
                <w:szCs w:val="21"/>
                <w:lang w:val="en-US" w:eastAsia="zh-CN"/>
              </w:rPr>
            </w:pPr>
            <w:r>
              <w:rPr>
                <w:rFonts w:hint="eastAsia" w:ascii="宋体" w:hAnsi="宋体" w:eastAsia="宋体" w:cs="宋体"/>
                <w:spacing w:val="-20"/>
                <w:kern w:val="0"/>
                <w:sz w:val="21"/>
                <w:szCs w:val="21"/>
                <w:lang w:val="en-US" w:eastAsia="zh-CN"/>
              </w:rPr>
              <w:t>48.71</w:t>
            </w:r>
          </w:p>
        </w:tc>
        <w:tc>
          <w:tcPr>
            <w:tcW w:w="569" w:type="pct"/>
            <w:tcBorders>
              <w:top w:val="single" w:color="auto" w:sz="4" w:space="0"/>
              <w:left w:val="nil"/>
              <w:bottom w:val="single" w:color="auto" w:sz="4" w:space="0"/>
              <w:right w:val="single" w:color="auto" w:sz="4" w:space="0"/>
            </w:tcBorders>
            <w:shd w:val="clear" w:color="auto" w:fill="E3F2D9" w:themeFill="accent4" w:themeFillTint="32"/>
            <w:vAlign w:val="center"/>
          </w:tcPr>
          <w:p w14:paraId="0DF74558">
            <w:pPr>
              <w:widowControl/>
              <w:spacing w:line="0" w:lineRule="atLeast"/>
              <w:jc w:val="center"/>
              <w:rPr>
                <w:rFonts w:hint="default" w:ascii="宋体" w:hAnsi="宋体" w:eastAsia="宋体" w:cs="宋体"/>
                <w:spacing w:val="-20"/>
                <w:kern w:val="0"/>
                <w:sz w:val="21"/>
                <w:szCs w:val="21"/>
                <w:lang w:val="en-US" w:eastAsia="zh-CN"/>
              </w:rPr>
            </w:pPr>
            <w:r>
              <w:rPr>
                <w:rFonts w:hint="eastAsia" w:ascii="宋体" w:hAnsi="宋体" w:eastAsia="宋体" w:cs="宋体"/>
                <w:spacing w:val="-20"/>
                <w:kern w:val="0"/>
                <w:sz w:val="21"/>
                <w:szCs w:val="21"/>
                <w:lang w:val="en-US" w:eastAsia="zh-CN"/>
              </w:rPr>
              <w:t>40.6</w:t>
            </w:r>
          </w:p>
        </w:tc>
      </w:tr>
      <w:tr w14:paraId="120BB329">
        <w:tblPrEx>
          <w:tblCellMar>
            <w:top w:w="0" w:type="dxa"/>
            <w:left w:w="108" w:type="dxa"/>
            <w:bottom w:w="0" w:type="dxa"/>
            <w:right w:w="108" w:type="dxa"/>
          </w:tblCellMar>
        </w:tblPrEx>
        <w:trPr>
          <w:trHeight w:val="3741" w:hRule="atLeast"/>
        </w:trPr>
        <w:tc>
          <w:tcPr>
            <w:tcW w:w="296" w:type="pct"/>
            <w:vMerge w:val="continue"/>
            <w:tcBorders>
              <w:left w:val="single" w:color="auto" w:sz="4" w:space="0"/>
              <w:bottom w:val="single" w:color="auto" w:sz="4" w:space="0"/>
              <w:right w:val="single" w:color="auto" w:sz="4" w:space="0"/>
            </w:tcBorders>
            <w:shd w:val="clear" w:color="auto" w:fill="auto"/>
            <w:vAlign w:val="center"/>
          </w:tcPr>
          <w:p w14:paraId="0C489F02">
            <w:pPr>
              <w:widowControl/>
              <w:spacing w:line="0" w:lineRule="atLeast"/>
              <w:jc w:val="center"/>
              <w:rPr>
                <w:rFonts w:hint="eastAsia" w:ascii="宋体" w:hAnsi="宋体" w:eastAsia="宋体" w:cs="宋体"/>
                <w:spacing w:val="-20"/>
                <w:kern w:val="0"/>
                <w:sz w:val="21"/>
                <w:szCs w:val="21"/>
              </w:rPr>
            </w:pPr>
          </w:p>
        </w:tc>
        <w:tc>
          <w:tcPr>
            <w:tcW w:w="283" w:type="pct"/>
            <w:vMerge w:val="continue"/>
            <w:tcBorders>
              <w:left w:val="nil"/>
              <w:bottom w:val="single" w:color="auto" w:sz="4" w:space="0"/>
              <w:right w:val="single" w:color="auto" w:sz="4" w:space="0"/>
            </w:tcBorders>
            <w:shd w:val="clear" w:color="auto" w:fill="auto"/>
            <w:vAlign w:val="center"/>
          </w:tcPr>
          <w:p w14:paraId="06A92B06">
            <w:pPr>
              <w:widowControl/>
              <w:spacing w:line="0" w:lineRule="atLeast"/>
              <w:jc w:val="center"/>
              <w:rPr>
                <w:rFonts w:hint="eastAsia" w:ascii="宋体" w:hAnsi="宋体" w:eastAsia="宋体" w:cs="宋体"/>
                <w:spacing w:val="-20"/>
                <w:kern w:val="0"/>
                <w:sz w:val="21"/>
                <w:szCs w:val="21"/>
              </w:rPr>
            </w:pPr>
          </w:p>
        </w:tc>
        <w:tc>
          <w:tcPr>
            <w:tcW w:w="4420" w:type="pct"/>
            <w:gridSpan w:val="5"/>
            <w:tcBorders>
              <w:top w:val="nil"/>
              <w:left w:val="nil"/>
              <w:bottom w:val="single" w:color="auto" w:sz="4" w:space="0"/>
              <w:right w:val="single" w:color="auto" w:sz="4" w:space="0"/>
            </w:tcBorders>
            <w:shd w:val="clear" w:color="auto" w:fill="auto"/>
            <w:vAlign w:val="top"/>
          </w:tcPr>
          <w:p w14:paraId="1FC85D63">
            <w:pPr>
              <w:spacing w:line="0" w:lineRule="atLeast"/>
              <w:jc w:val="both"/>
              <w:rPr>
                <w:rFonts w:hint="eastAsia"/>
                <w:lang w:val="en-US" w:eastAsia="zh-CN"/>
              </w:rPr>
            </w:pPr>
            <w:r>
              <w:rPr>
                <w:rFonts w:hint="eastAsia"/>
                <w:lang w:val="en-US" w:eastAsia="zh-CN"/>
              </w:rPr>
              <w:t>该项指标是否建议选择（）</w:t>
            </w:r>
          </w:p>
          <w:p w14:paraId="30F02675">
            <w:pPr>
              <w:spacing w:line="0" w:lineRule="atLeast"/>
              <w:jc w:val="both"/>
              <w:rPr>
                <w:rFonts w:hint="default"/>
                <w:lang w:val="en-US" w:eastAsia="zh-CN"/>
              </w:rPr>
            </w:pPr>
            <w:r>
              <w:rPr>
                <w:rFonts w:hint="eastAsia"/>
                <w:lang w:val="en-US" w:eastAsia="zh-CN"/>
              </w:rPr>
              <w:t>论证理由：</w:t>
            </w:r>
          </w:p>
          <w:p w14:paraId="6B28247D">
            <w:pPr>
              <w:widowControl/>
              <w:spacing w:line="0" w:lineRule="atLeast"/>
              <w:jc w:val="both"/>
              <w:rPr>
                <w:rFonts w:hint="eastAsia" w:ascii="宋体" w:hAnsi="宋体" w:eastAsia="宋体" w:cs="宋体"/>
                <w:spacing w:val="-20"/>
                <w:kern w:val="0"/>
                <w:sz w:val="21"/>
                <w:szCs w:val="21"/>
              </w:rPr>
            </w:pPr>
          </w:p>
        </w:tc>
      </w:tr>
      <w:tr w14:paraId="61648D2D">
        <w:tblPrEx>
          <w:tblCellMar>
            <w:top w:w="0" w:type="dxa"/>
            <w:left w:w="108" w:type="dxa"/>
            <w:bottom w:w="0" w:type="dxa"/>
            <w:right w:w="108" w:type="dxa"/>
          </w:tblCellMar>
        </w:tblPrEx>
        <w:trPr>
          <w:trHeight w:val="176" w:hRule="atLeast"/>
        </w:trPr>
        <w:tc>
          <w:tcPr>
            <w:tcW w:w="296" w:type="pct"/>
            <w:vMerge w:val="restart"/>
            <w:tcBorders>
              <w:top w:val="single" w:color="auto" w:sz="4" w:space="0"/>
              <w:left w:val="single" w:color="auto" w:sz="4" w:space="0"/>
              <w:right w:val="single" w:color="auto" w:sz="4" w:space="0"/>
            </w:tcBorders>
            <w:shd w:val="clear" w:color="auto" w:fill="auto"/>
            <w:vAlign w:val="center"/>
          </w:tcPr>
          <w:p w14:paraId="284AA942">
            <w:pPr>
              <w:widowControl/>
              <w:spacing w:line="0" w:lineRule="atLeast"/>
              <w:jc w:val="center"/>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5.</w:t>
            </w:r>
          </w:p>
          <w:p w14:paraId="18DC19F1">
            <w:pPr>
              <w:widowControl/>
              <w:spacing w:line="0" w:lineRule="atLeast"/>
              <w:jc w:val="center"/>
              <w:rPr>
                <w:rFonts w:ascii="宋体" w:hAnsi="宋体" w:eastAsia="宋体" w:cs="宋体"/>
                <w:spacing w:val="-20"/>
                <w:kern w:val="0"/>
                <w:sz w:val="21"/>
                <w:szCs w:val="21"/>
              </w:rPr>
            </w:pPr>
            <w:r>
              <w:rPr>
                <w:rFonts w:hint="eastAsia" w:ascii="宋体" w:hAnsi="宋体" w:eastAsia="宋体" w:cs="宋体"/>
                <w:spacing w:val="-20"/>
                <w:kern w:val="0"/>
                <w:sz w:val="21"/>
                <w:szCs w:val="21"/>
              </w:rPr>
              <w:t>学生发展</w:t>
            </w:r>
          </w:p>
        </w:tc>
        <w:tc>
          <w:tcPr>
            <w:tcW w:w="283" w:type="pct"/>
            <w:vMerge w:val="restart"/>
            <w:tcBorders>
              <w:top w:val="nil"/>
              <w:left w:val="single" w:color="auto" w:sz="4" w:space="0"/>
              <w:right w:val="single" w:color="auto" w:sz="4" w:space="0"/>
            </w:tcBorders>
            <w:shd w:val="clear" w:color="auto" w:fill="auto"/>
            <w:vAlign w:val="center"/>
          </w:tcPr>
          <w:p w14:paraId="64347169">
            <w:pPr>
              <w:widowControl/>
              <w:spacing w:line="0" w:lineRule="atLeast"/>
              <w:jc w:val="center"/>
              <w:rPr>
                <w:rFonts w:ascii="宋体" w:hAnsi="宋体" w:eastAsia="宋体" w:cs="宋体"/>
                <w:spacing w:val="-20"/>
                <w:kern w:val="0"/>
                <w:sz w:val="21"/>
                <w:szCs w:val="21"/>
              </w:rPr>
            </w:pPr>
            <w:r>
              <w:rPr>
                <w:rFonts w:hint="eastAsia" w:ascii="宋体" w:hAnsi="宋体" w:eastAsia="宋体" w:cs="宋体"/>
                <w:spacing w:val="-20"/>
                <w:kern w:val="0"/>
                <w:sz w:val="21"/>
                <w:szCs w:val="21"/>
              </w:rPr>
              <w:t>5.2学业成绩及综合素质</w:t>
            </w:r>
          </w:p>
        </w:tc>
        <w:tc>
          <w:tcPr>
            <w:tcW w:w="2519" w:type="pct"/>
            <w:tcBorders>
              <w:top w:val="single" w:color="auto" w:sz="4" w:space="0"/>
              <w:left w:val="single" w:color="auto" w:sz="4" w:space="0"/>
              <w:bottom w:val="single" w:color="auto" w:sz="4" w:space="0"/>
              <w:right w:val="single" w:color="auto" w:sz="4" w:space="0"/>
            </w:tcBorders>
            <w:shd w:val="clear" w:color="auto" w:fill="E3F2D9" w:themeFill="accent4" w:themeFillTint="32"/>
            <w:vAlign w:val="center"/>
          </w:tcPr>
          <w:p w14:paraId="37544612">
            <w:pPr>
              <w:widowControl/>
              <w:spacing w:line="0" w:lineRule="atLeast"/>
              <w:jc w:val="left"/>
              <w:rPr>
                <w:rFonts w:ascii="宋体" w:hAnsi="宋体" w:eastAsia="宋体" w:cs="宋体"/>
                <w:kern w:val="0"/>
                <w:sz w:val="21"/>
                <w:szCs w:val="21"/>
              </w:rPr>
            </w:pPr>
            <w:r>
              <w:rPr>
                <w:rFonts w:hint="eastAsia" w:ascii="宋体" w:hAnsi="宋体" w:eastAsia="宋体" w:cs="宋体"/>
                <w:kern w:val="0"/>
                <w:sz w:val="21"/>
                <w:szCs w:val="21"/>
              </w:rPr>
              <w:t>【可选1</w:t>
            </w:r>
            <w:r>
              <w:rPr>
                <w:rFonts w:hint="eastAsia" w:ascii="宋体" w:hAnsi="宋体" w:eastAsia="宋体" w:cs="宋体"/>
                <w:kern w:val="0"/>
                <w:sz w:val="21"/>
                <w:szCs w:val="21"/>
                <w:lang w:val="en-US" w:eastAsia="zh-CN"/>
              </w:rPr>
              <w:t>3</w:t>
            </w:r>
            <w:bookmarkStart w:id="0" w:name="_GoBack"/>
            <w:bookmarkEnd w:id="0"/>
            <w:r>
              <w:rPr>
                <w:rFonts w:hint="eastAsia" w:ascii="宋体" w:hAnsi="宋体" w:eastAsia="宋体" w:cs="宋体"/>
                <w:kern w:val="0"/>
                <w:sz w:val="21"/>
                <w:szCs w:val="21"/>
              </w:rPr>
              <w:t>】本科生以第一作者/通讯作者在公开发行期刊发表的论文数和本科生获批国家发明专利数</w:t>
            </w:r>
          </w:p>
        </w:tc>
        <w:tc>
          <w:tcPr>
            <w:tcW w:w="375" w:type="pct"/>
            <w:tcBorders>
              <w:top w:val="single" w:color="auto" w:sz="4" w:space="0"/>
              <w:left w:val="nil"/>
              <w:bottom w:val="single" w:color="auto" w:sz="4" w:space="0"/>
              <w:right w:val="single" w:color="auto" w:sz="4" w:space="0"/>
            </w:tcBorders>
            <w:shd w:val="clear" w:color="auto" w:fill="E3F2D9" w:themeFill="accent4" w:themeFillTint="32"/>
            <w:vAlign w:val="center"/>
          </w:tcPr>
          <w:p w14:paraId="2A8E36B2">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167</w:t>
            </w:r>
          </w:p>
          <w:p w14:paraId="14D01CC9">
            <w:pPr>
              <w:widowControl/>
              <w:spacing w:line="0" w:lineRule="atLeast"/>
              <w:jc w:val="center"/>
              <w:rPr>
                <w:rFonts w:ascii="宋体" w:hAnsi="宋体" w:eastAsia="宋体" w:cs="宋体"/>
                <w:spacing w:val="-20"/>
                <w:kern w:val="0"/>
                <w:sz w:val="21"/>
                <w:szCs w:val="21"/>
              </w:rPr>
            </w:pPr>
            <w:r>
              <w:rPr>
                <w:rFonts w:hint="eastAsia" w:ascii="宋体" w:hAnsi="宋体" w:eastAsia="宋体" w:cs="宋体"/>
                <w:lang w:val="en-US" w:eastAsia="zh-CN"/>
              </w:rPr>
              <w:t>0</w:t>
            </w:r>
          </w:p>
        </w:tc>
        <w:tc>
          <w:tcPr>
            <w:tcW w:w="490" w:type="pct"/>
            <w:tcBorders>
              <w:top w:val="single" w:color="auto" w:sz="4" w:space="0"/>
              <w:left w:val="nil"/>
              <w:bottom w:val="single" w:color="auto" w:sz="4" w:space="0"/>
              <w:right w:val="single" w:color="auto" w:sz="4" w:space="0"/>
            </w:tcBorders>
            <w:shd w:val="clear" w:color="auto" w:fill="E3F2D9" w:themeFill="accent4" w:themeFillTint="32"/>
            <w:vAlign w:val="center"/>
          </w:tcPr>
          <w:p w14:paraId="1C3A9BCF">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61.65</w:t>
            </w:r>
          </w:p>
          <w:p w14:paraId="75D1B0BB">
            <w:pPr>
              <w:widowControl/>
              <w:spacing w:line="0" w:lineRule="atLeast"/>
              <w:jc w:val="center"/>
              <w:rPr>
                <w:rFonts w:ascii="宋体" w:hAnsi="宋体" w:eastAsia="宋体" w:cs="宋体"/>
                <w:spacing w:val="-20"/>
                <w:kern w:val="0"/>
                <w:sz w:val="21"/>
                <w:szCs w:val="21"/>
              </w:rPr>
            </w:pPr>
            <w:r>
              <w:rPr>
                <w:rFonts w:hint="eastAsia" w:ascii="宋体" w:hAnsi="宋体" w:eastAsia="宋体" w:cs="宋体"/>
                <w:lang w:val="en-US" w:eastAsia="zh-CN"/>
              </w:rPr>
              <w:t>2.08</w:t>
            </w:r>
          </w:p>
        </w:tc>
        <w:tc>
          <w:tcPr>
            <w:tcW w:w="465" w:type="pct"/>
            <w:tcBorders>
              <w:top w:val="single" w:color="auto" w:sz="4" w:space="0"/>
              <w:left w:val="nil"/>
              <w:bottom w:val="single" w:color="auto" w:sz="4" w:space="0"/>
              <w:right w:val="single" w:color="auto" w:sz="4" w:space="0"/>
            </w:tcBorders>
            <w:shd w:val="clear" w:color="auto" w:fill="E3F2D9" w:themeFill="accent4" w:themeFillTint="32"/>
            <w:vAlign w:val="center"/>
          </w:tcPr>
          <w:p w14:paraId="2DAACE65">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44.38</w:t>
            </w:r>
          </w:p>
          <w:p w14:paraId="291D78AA">
            <w:pPr>
              <w:widowControl/>
              <w:spacing w:line="0" w:lineRule="atLeast"/>
              <w:jc w:val="center"/>
              <w:rPr>
                <w:rFonts w:hint="eastAsia" w:ascii="宋体" w:hAnsi="宋体" w:eastAsia="宋体" w:cs="宋体"/>
                <w:spacing w:val="-20"/>
                <w:kern w:val="0"/>
                <w:sz w:val="21"/>
                <w:szCs w:val="21"/>
              </w:rPr>
            </w:pPr>
            <w:r>
              <w:rPr>
                <w:rFonts w:hint="eastAsia" w:ascii="宋体" w:hAnsi="宋体" w:eastAsia="宋体" w:cs="宋体"/>
                <w:lang w:val="en-US" w:eastAsia="zh-CN"/>
              </w:rPr>
              <w:t>3.92</w:t>
            </w:r>
          </w:p>
        </w:tc>
        <w:tc>
          <w:tcPr>
            <w:tcW w:w="569" w:type="pct"/>
            <w:tcBorders>
              <w:top w:val="single" w:color="auto" w:sz="4" w:space="0"/>
              <w:left w:val="nil"/>
              <w:bottom w:val="single" w:color="auto" w:sz="4" w:space="0"/>
              <w:right w:val="single" w:color="auto" w:sz="4" w:space="0"/>
            </w:tcBorders>
            <w:shd w:val="clear" w:color="auto" w:fill="E3F2D9" w:themeFill="accent4" w:themeFillTint="32"/>
            <w:vAlign w:val="center"/>
          </w:tcPr>
          <w:p w14:paraId="79D82F96">
            <w:pPr>
              <w:spacing w:line="0" w:lineRule="atLeast"/>
              <w:jc w:val="center"/>
              <w:rPr>
                <w:rFonts w:hint="eastAsia" w:ascii="宋体" w:hAnsi="宋体" w:eastAsia="宋体" w:cs="宋体"/>
                <w:lang w:val="en-US" w:eastAsia="zh-CN"/>
              </w:rPr>
            </w:pPr>
            <w:r>
              <w:rPr>
                <w:rFonts w:hint="eastAsia" w:ascii="宋体" w:hAnsi="宋体" w:eastAsia="宋体" w:cs="宋体"/>
                <w:lang w:val="en-US" w:eastAsia="zh-CN"/>
              </w:rPr>
              <w:t>50.44</w:t>
            </w:r>
          </w:p>
          <w:p w14:paraId="32018DA0">
            <w:pPr>
              <w:widowControl/>
              <w:spacing w:line="0" w:lineRule="atLeast"/>
              <w:jc w:val="center"/>
              <w:rPr>
                <w:rFonts w:hint="eastAsia" w:ascii="宋体" w:hAnsi="宋体" w:eastAsia="宋体" w:cs="宋体"/>
                <w:spacing w:val="-20"/>
                <w:kern w:val="0"/>
                <w:sz w:val="21"/>
                <w:szCs w:val="21"/>
              </w:rPr>
            </w:pPr>
            <w:r>
              <w:rPr>
                <w:rFonts w:hint="eastAsia" w:ascii="宋体" w:hAnsi="宋体" w:eastAsia="宋体" w:cs="宋体"/>
                <w:lang w:val="en-US" w:eastAsia="zh-CN"/>
              </w:rPr>
              <w:t>2.76</w:t>
            </w:r>
          </w:p>
        </w:tc>
      </w:tr>
      <w:tr w14:paraId="7524EC9E">
        <w:tblPrEx>
          <w:tblCellMar>
            <w:top w:w="0" w:type="dxa"/>
            <w:left w:w="108" w:type="dxa"/>
            <w:bottom w:w="0" w:type="dxa"/>
            <w:right w:w="108" w:type="dxa"/>
          </w:tblCellMar>
        </w:tblPrEx>
        <w:trPr>
          <w:trHeight w:val="2749" w:hRule="atLeast"/>
        </w:trPr>
        <w:tc>
          <w:tcPr>
            <w:tcW w:w="296" w:type="pct"/>
            <w:vMerge w:val="continue"/>
            <w:tcBorders>
              <w:left w:val="single" w:color="auto" w:sz="4" w:space="0"/>
              <w:bottom w:val="single" w:color="auto" w:sz="4" w:space="0"/>
              <w:right w:val="single" w:color="auto" w:sz="4" w:space="0"/>
            </w:tcBorders>
            <w:shd w:val="clear" w:color="auto" w:fill="auto"/>
            <w:vAlign w:val="center"/>
          </w:tcPr>
          <w:p w14:paraId="56F8AB16">
            <w:pPr>
              <w:widowControl/>
              <w:spacing w:line="0" w:lineRule="atLeast"/>
              <w:jc w:val="center"/>
              <w:rPr>
                <w:rFonts w:hint="eastAsia" w:ascii="宋体" w:hAnsi="宋体" w:eastAsia="宋体" w:cs="宋体"/>
                <w:spacing w:val="-20"/>
                <w:kern w:val="0"/>
                <w:sz w:val="21"/>
                <w:szCs w:val="21"/>
              </w:rPr>
            </w:pPr>
          </w:p>
        </w:tc>
        <w:tc>
          <w:tcPr>
            <w:tcW w:w="283" w:type="pct"/>
            <w:vMerge w:val="continue"/>
            <w:tcBorders>
              <w:left w:val="single" w:color="auto" w:sz="4" w:space="0"/>
              <w:bottom w:val="single" w:color="auto" w:sz="4" w:space="0"/>
              <w:right w:val="single" w:color="auto" w:sz="4" w:space="0"/>
            </w:tcBorders>
            <w:shd w:val="clear" w:color="auto" w:fill="auto"/>
            <w:vAlign w:val="center"/>
          </w:tcPr>
          <w:p w14:paraId="7CDAA0BA">
            <w:pPr>
              <w:widowControl/>
              <w:spacing w:line="0" w:lineRule="atLeast"/>
              <w:jc w:val="center"/>
              <w:rPr>
                <w:rFonts w:hint="eastAsia" w:ascii="宋体" w:hAnsi="宋体" w:eastAsia="宋体" w:cs="宋体"/>
                <w:spacing w:val="-20"/>
                <w:kern w:val="0"/>
                <w:sz w:val="21"/>
                <w:szCs w:val="21"/>
              </w:rPr>
            </w:pPr>
          </w:p>
        </w:tc>
        <w:tc>
          <w:tcPr>
            <w:tcW w:w="4420" w:type="pct"/>
            <w:gridSpan w:val="5"/>
            <w:tcBorders>
              <w:top w:val="single" w:color="auto" w:sz="4" w:space="0"/>
              <w:left w:val="nil"/>
              <w:bottom w:val="single" w:color="auto" w:sz="4" w:space="0"/>
              <w:right w:val="single" w:color="auto" w:sz="4" w:space="0"/>
            </w:tcBorders>
            <w:shd w:val="clear" w:color="auto" w:fill="auto"/>
            <w:vAlign w:val="top"/>
          </w:tcPr>
          <w:p w14:paraId="74314EA8">
            <w:pPr>
              <w:spacing w:line="0" w:lineRule="atLeast"/>
              <w:jc w:val="both"/>
              <w:rPr>
                <w:rFonts w:hint="eastAsia"/>
                <w:lang w:val="en-US" w:eastAsia="zh-CN"/>
              </w:rPr>
            </w:pPr>
            <w:r>
              <w:rPr>
                <w:rFonts w:hint="eastAsia"/>
                <w:lang w:val="en-US" w:eastAsia="zh-CN"/>
              </w:rPr>
              <w:t>该项指标是否建议选择（）</w:t>
            </w:r>
          </w:p>
          <w:p w14:paraId="440DE1B6">
            <w:pPr>
              <w:spacing w:line="0" w:lineRule="atLeast"/>
              <w:jc w:val="both"/>
              <w:rPr>
                <w:rFonts w:hint="default"/>
                <w:lang w:val="en-US" w:eastAsia="zh-CN"/>
              </w:rPr>
            </w:pPr>
            <w:r>
              <w:rPr>
                <w:rFonts w:hint="eastAsia"/>
                <w:lang w:val="en-US" w:eastAsia="zh-CN"/>
              </w:rPr>
              <w:t>论证理由：</w:t>
            </w:r>
          </w:p>
          <w:p w14:paraId="2F4EF206">
            <w:pPr>
              <w:widowControl/>
              <w:spacing w:line="0" w:lineRule="atLeast"/>
              <w:jc w:val="both"/>
              <w:rPr>
                <w:rFonts w:hint="eastAsia" w:ascii="宋体" w:hAnsi="宋体" w:eastAsia="宋体" w:cs="宋体"/>
                <w:spacing w:val="-20"/>
                <w:kern w:val="0"/>
                <w:sz w:val="21"/>
                <w:szCs w:val="21"/>
              </w:rPr>
            </w:pPr>
          </w:p>
        </w:tc>
      </w:tr>
    </w:tbl>
    <w:p w14:paraId="6A55551E">
      <w:pPr>
        <w:spacing w:line="320" w:lineRule="exact"/>
        <w:rPr>
          <w:rFonts w:ascii="Times New Roman" w:hAnsi="Times New Roman" w:cs="宋体"/>
          <w:b/>
          <w:kern w:val="0"/>
          <w:szCs w:val="21"/>
        </w:rPr>
      </w:pPr>
      <w:r>
        <w:rPr>
          <w:rFonts w:hint="eastAsia" w:cs="宋体" w:asciiTheme="minorEastAsia" w:hAnsiTheme="minorEastAsia"/>
          <w:b/>
          <w:kern w:val="0"/>
          <w:szCs w:val="21"/>
        </w:rPr>
        <w:t>【</w:t>
      </w:r>
      <w:r>
        <w:rPr>
          <w:rFonts w:hint="eastAsia" w:ascii="Times New Roman" w:hAnsi="Times New Roman" w:cs="宋体"/>
          <w:b/>
          <w:kern w:val="0"/>
          <w:szCs w:val="21"/>
        </w:rPr>
        <w:t>说明</w:t>
      </w:r>
      <w:r>
        <w:rPr>
          <w:rFonts w:hint="eastAsia" w:cs="宋体" w:asciiTheme="minorEastAsia" w:hAnsiTheme="minorEastAsia"/>
          <w:b/>
          <w:kern w:val="0"/>
          <w:szCs w:val="21"/>
        </w:rPr>
        <w:t>】</w:t>
      </w:r>
    </w:p>
    <w:p w14:paraId="522FFC46">
      <w:pPr>
        <w:spacing w:line="320" w:lineRule="exact"/>
        <w:ind w:firstLine="422" w:firstLineChars="200"/>
        <w:rPr>
          <w:rFonts w:hint="default" w:ascii="Times New Roman" w:hAnsi="Times New Roman" w:cs="宋体" w:eastAsiaTheme="minorEastAsia"/>
          <w:b/>
          <w:color w:val="FF0000"/>
          <w:kern w:val="0"/>
          <w:szCs w:val="21"/>
          <w:lang w:val="en-US" w:eastAsia="zh-CN"/>
        </w:rPr>
      </w:pPr>
      <w:r>
        <w:rPr>
          <w:rFonts w:hint="eastAsia" w:ascii="Times New Roman" w:hAnsi="Times New Roman" w:cs="宋体"/>
          <w:b/>
          <w:color w:val="FF0000"/>
          <w:kern w:val="0"/>
          <w:szCs w:val="21"/>
          <w:lang w:val="en-US" w:eastAsia="zh-CN"/>
        </w:rPr>
        <w:t>1.论证理由部分可另附说明，或另附相应支撑材料</w:t>
      </w:r>
    </w:p>
    <w:p w14:paraId="2CE4DC74">
      <w:pPr>
        <w:spacing w:line="320" w:lineRule="exact"/>
        <w:ind w:firstLine="422" w:firstLineChars="200"/>
        <w:rPr>
          <w:rFonts w:ascii="Times New Roman" w:hAnsi="Times New Roman" w:cs="宋体"/>
          <w:b/>
          <w:kern w:val="0"/>
          <w:szCs w:val="21"/>
        </w:rPr>
      </w:pPr>
      <w:r>
        <w:rPr>
          <w:rFonts w:hint="eastAsia" w:ascii="Times New Roman" w:hAnsi="Times New Roman" w:cs="宋体"/>
          <w:b/>
          <w:kern w:val="0"/>
          <w:szCs w:val="21"/>
          <w:lang w:val="en-US" w:eastAsia="zh-CN"/>
        </w:rPr>
        <w:t>2</w:t>
      </w:r>
      <w:r>
        <w:rPr>
          <w:rFonts w:hint="eastAsia" w:ascii="Times New Roman" w:hAnsi="Times New Roman" w:cs="宋体"/>
          <w:b/>
          <w:kern w:val="0"/>
          <w:szCs w:val="21"/>
        </w:rPr>
        <w:t>.“我校数据”来源为</w:t>
      </w:r>
      <w:r>
        <w:rPr>
          <w:rFonts w:hint="eastAsia" w:ascii="Times New Roman" w:hAnsi="Times New Roman" w:cs="宋体"/>
          <w:b/>
          <w:kern w:val="0"/>
          <w:szCs w:val="21"/>
          <w:lang w:val="en-US" w:eastAsia="zh-CN"/>
        </w:rPr>
        <w:t>2023</w:t>
      </w:r>
      <w:r>
        <w:rPr>
          <w:rFonts w:hint="eastAsia" w:ascii="Times New Roman" w:hAnsi="Times New Roman" w:cs="宋体"/>
          <w:b/>
          <w:kern w:val="0"/>
          <w:szCs w:val="21"/>
        </w:rPr>
        <w:t>年10月填报的“高等教育质量监测国家数据平台”中生成的数据报告，其中节点数据为202</w:t>
      </w:r>
      <w:r>
        <w:rPr>
          <w:rFonts w:hint="eastAsia" w:ascii="Times New Roman" w:hAnsi="Times New Roman" w:cs="宋体"/>
          <w:b/>
          <w:kern w:val="0"/>
          <w:szCs w:val="21"/>
          <w:lang w:val="en-US" w:eastAsia="zh-CN"/>
        </w:rPr>
        <w:t>3</w:t>
      </w:r>
      <w:r>
        <w:rPr>
          <w:rFonts w:hint="eastAsia" w:ascii="Times New Roman" w:hAnsi="Times New Roman" w:cs="宋体"/>
          <w:b/>
          <w:kern w:val="0"/>
          <w:szCs w:val="21"/>
        </w:rPr>
        <w:t>年9月30日，学年数据为202</w:t>
      </w:r>
      <w:r>
        <w:rPr>
          <w:rFonts w:hint="eastAsia" w:ascii="Times New Roman" w:hAnsi="Times New Roman" w:cs="宋体"/>
          <w:b/>
          <w:kern w:val="0"/>
          <w:szCs w:val="21"/>
          <w:lang w:val="en-US" w:eastAsia="zh-CN"/>
        </w:rPr>
        <w:t>2</w:t>
      </w:r>
      <w:r>
        <w:rPr>
          <w:rFonts w:hint="eastAsia" w:ascii="Times New Roman" w:hAnsi="Times New Roman" w:cs="宋体"/>
          <w:b/>
          <w:kern w:val="0"/>
          <w:szCs w:val="21"/>
        </w:rPr>
        <w:t>—202</w:t>
      </w:r>
      <w:r>
        <w:rPr>
          <w:rFonts w:hint="eastAsia" w:ascii="Times New Roman" w:hAnsi="Times New Roman" w:cs="宋体"/>
          <w:b/>
          <w:kern w:val="0"/>
          <w:szCs w:val="21"/>
          <w:lang w:val="en-US" w:eastAsia="zh-CN"/>
        </w:rPr>
        <w:t>3</w:t>
      </w:r>
      <w:r>
        <w:rPr>
          <w:rFonts w:hint="eastAsia" w:ascii="Times New Roman" w:hAnsi="Times New Roman" w:cs="宋体"/>
          <w:b/>
          <w:kern w:val="0"/>
          <w:szCs w:val="21"/>
        </w:rPr>
        <w:t>学年数据，财务数据截止到202</w:t>
      </w:r>
      <w:r>
        <w:rPr>
          <w:rFonts w:hint="eastAsia" w:ascii="Times New Roman" w:hAnsi="Times New Roman" w:cs="宋体"/>
          <w:b/>
          <w:kern w:val="0"/>
          <w:szCs w:val="21"/>
          <w:lang w:val="en-US" w:eastAsia="zh-CN"/>
        </w:rPr>
        <w:t>2</w:t>
      </w:r>
      <w:r>
        <w:rPr>
          <w:rFonts w:hint="eastAsia" w:ascii="Times New Roman" w:hAnsi="Times New Roman" w:cs="宋体"/>
          <w:b/>
          <w:kern w:val="0"/>
          <w:szCs w:val="21"/>
        </w:rPr>
        <w:t>年底，数据仅供参考。</w:t>
      </w:r>
    </w:p>
    <w:p w14:paraId="185684DD">
      <w:pPr>
        <w:ind w:firstLine="422" w:firstLineChars="200"/>
      </w:pPr>
      <w:r>
        <w:rPr>
          <w:rFonts w:hint="eastAsia" w:ascii="Times New Roman" w:hAnsi="Times New Roman" w:cs="宋体"/>
          <w:b/>
          <w:kern w:val="0"/>
          <w:szCs w:val="21"/>
          <w:lang w:val="en-US" w:eastAsia="zh-CN"/>
        </w:rPr>
        <w:t>3</w:t>
      </w:r>
      <w:r>
        <w:rPr>
          <w:rFonts w:hint="eastAsia" w:ascii="Times New Roman" w:hAnsi="Times New Roman" w:cs="宋体"/>
          <w:b/>
          <w:kern w:val="0"/>
          <w:szCs w:val="21"/>
        </w:rPr>
        <w:t>.涉及教学运行的基础数据，如教师信息、在校生信息、毕业生信息、课程信息等，会影响到多个指标数据生成。</w:t>
      </w:r>
    </w:p>
    <w:p w14:paraId="676E3CFC"/>
    <w:sectPr>
      <w:pgSz w:w="11906" w:h="16838"/>
      <w:pgMar w:top="1701"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371D7F-4439-4F69-AA16-954BCD63DF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45EAEB5-8D0D-422E-8A03-58E0C01F8370}"/>
  </w:font>
  <w:font w:name="方正小标宋简体">
    <w:panose1 w:val="02000000000000000000"/>
    <w:charset w:val="86"/>
    <w:family w:val="auto"/>
    <w:pitch w:val="default"/>
    <w:sig w:usb0="00000001" w:usb1="08000000" w:usb2="00000000" w:usb3="00000000" w:csb0="00040000" w:csb1="00000000"/>
    <w:embedRegular r:id="rId3" w:fontKey="{44798C88-826D-411A-A132-739F40A3375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4AE311"/>
    <w:multiLevelType w:val="singleLevel"/>
    <w:tmpl w:val="7C4AE31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0MTkzMmZjZDRiOWRhNDVmYjc4ZmE4MjJmZmRlZWQifQ=="/>
  </w:docVars>
  <w:rsids>
    <w:rsidRoot w:val="2BA85C8A"/>
    <w:rsid w:val="0F821E7D"/>
    <w:rsid w:val="190773F3"/>
    <w:rsid w:val="1C5E08AD"/>
    <w:rsid w:val="299B40ED"/>
    <w:rsid w:val="2BA85C8A"/>
    <w:rsid w:val="35B877F8"/>
    <w:rsid w:val="42E71C1A"/>
    <w:rsid w:val="47DF7F53"/>
    <w:rsid w:val="5486615F"/>
    <w:rsid w:val="55584160"/>
    <w:rsid w:val="55655AE8"/>
    <w:rsid w:val="7853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444</Words>
  <Characters>516</Characters>
  <Lines>0</Lines>
  <Paragraphs>0</Paragraphs>
  <TotalTime>0</TotalTime>
  <ScaleCrop>false</ScaleCrop>
  <LinksUpToDate>false</LinksUpToDate>
  <CharactersWithSpaces>519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2023-10-30T10:56:00Z</dcterms:created>
  <dc:creator>Tillytilly</dc:creator>
  <cp:lastModifiedBy>Tillytilly</cp:lastModifiedBy>
  <dcterms:modified xsi:type="dcterms:W3CDTF">2024-08-27T01:46:02Z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93A5AA02A08644B9B170ABAE9C49CEDF_11</vt:lpwstr>
  </property>
</Properties>
</file>