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100" w:beforeAutospacing="1" w:after="100" w:afterAutospacing="1" w:line="240" w:lineRule="auto"/>
        <w:ind w:left="0" w:leftChars="0" w:right="0" w:rightChars="0" w:firstLine="0" w:firstLineChars="0"/>
        <w:jc w:val="center"/>
        <w:rPr>
          <w:rFonts w:hint="default" w:ascii="仿宋" w:hAnsi="FZYaSongS-R-GB" w:eastAsia="仿宋" w:cs="FZYaSongS-R-GB"/>
          <w:b w:val="0"/>
          <w:i w:val="0"/>
          <w:caps w:val="0"/>
          <w:color w:val="auto"/>
          <w:spacing w:val="0"/>
          <w:sz w:val="28"/>
          <w:szCs w:val="27"/>
          <w:u w:val="none"/>
        </w:rPr>
      </w:pPr>
      <w:bookmarkStart w:id="0" w:name="_GoBack"/>
      <w:bookmarkEnd w:id="0"/>
      <w:r>
        <w:rPr>
          <w:rFonts w:hint="default" w:ascii="宋体" w:hAnsi="微软雅黑" w:eastAsia="方正小标宋简体" w:cs="微软雅黑"/>
          <w:b/>
          <w:i w:val="0"/>
          <w:iCs w:val="0"/>
          <w:caps w:val="0"/>
          <w:color w:val="auto"/>
          <w:spacing w:val="0"/>
          <w:sz w:val="44"/>
          <w:szCs w:val="20"/>
        </w:rPr>
        <w:t>《深化新时代教育评价改革总体方案》</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default" w:ascii="仿宋" w:hAnsi="FZYaSongS-R-GB" w:eastAsia="仿宋" w:cs="FZYaSongS-R-GB"/>
          <w:b w:val="0"/>
          <w:i w:val="0"/>
          <w:caps w:val="0"/>
          <w:color w:val="auto"/>
          <w:spacing w:val="0"/>
          <w:sz w:val="28"/>
          <w:szCs w:val="27"/>
          <w:u w:val="none"/>
        </w:rPr>
      </w:pPr>
      <w:r>
        <w:rPr>
          <w:rFonts w:hint="default" w:ascii="仿宋" w:hAnsi="FZYaSongS-R-GB" w:eastAsia="仿宋" w:cs="FZYaSongS-R-GB"/>
          <w:b w:val="0"/>
          <w:i w:val="0"/>
          <w:caps w:val="0"/>
          <w:color w:val="auto"/>
          <w:spacing w:val="0"/>
          <w:sz w:val="28"/>
          <w:szCs w:val="27"/>
          <w:u w:val="none"/>
        </w:rPr>
        <w:t>教育评价事关教育发展方向，有什么样的评价指挥棒，就有什么样的办学导向。为深入贯彻落实习近平总书记关于教育的重要论述和全国教育大会精神，完善立德树人体制机制，扭转不科学的教育评价导向，坚决克服唯分数、唯升学、唯文凭、唯论文、唯帽子的顽瘴痼疾，提高教育治理能力和水平，加快推进教育现代化、建设教育强国、办好人民满意的教育，现制定如下方案。</w:t>
      </w:r>
    </w:p>
    <w:p>
      <w:pPr>
        <w:pStyle w:val="3"/>
        <w:widowControl/>
        <w:pBdr>
          <w:top w:val="none" w:color="auto" w:sz="0" w:space="0"/>
          <w:left w:val="none" w:color="auto" w:sz="0" w:space="0"/>
          <w:bottom w:val="none" w:color="auto" w:sz="0" w:space="0"/>
          <w:right w:val="none" w:color="auto" w:sz="0" w:space="0"/>
        </w:pBdr>
        <w:snapToGrid/>
        <w:spacing w:before="260" w:beforeAutospacing="0" w:after="260" w:afterAutospacing="0" w:line="413" w:lineRule="auto"/>
        <w:ind w:left="0" w:leftChars="0" w:right="0" w:rightChars="0" w:firstLine="0" w:firstLineChars="0"/>
        <w:jc w:val="both"/>
        <w:outlineLvl w:val="0"/>
        <w:rPr>
          <w:rFonts w:hint="default" w:ascii="Arial" w:hAnsi="FZYaSongS-R-GB" w:eastAsia="黑体" w:cs="FZYaSongS-R-GB"/>
          <w:b/>
          <w:bCs/>
          <w:i w:val="0"/>
          <w:caps w:val="0"/>
          <w:color w:val="auto"/>
          <w:spacing w:val="0"/>
          <w:sz w:val="28"/>
          <w:szCs w:val="27"/>
          <w:u w:val="none"/>
        </w:rPr>
      </w:pPr>
      <w:r>
        <w:rPr>
          <w:rStyle w:val="6"/>
          <w:rFonts w:hint="default" w:ascii="Arial" w:hAnsi="FZYaSongS-R-GB" w:eastAsia="黑体" w:cs="FZYaSongS-R-GB"/>
          <w:b/>
          <w:bCs/>
          <w:i w:val="0"/>
          <w:caps w:val="0"/>
          <w:color w:val="auto"/>
          <w:spacing w:val="0"/>
          <w:sz w:val="28"/>
          <w:szCs w:val="27"/>
          <w:u w:val="none"/>
        </w:rPr>
        <w:t>一、总体要求</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default" w:ascii="仿宋" w:hAnsi="FZYaSongS-R-GB" w:eastAsia="仿宋" w:cs="FZYaSongS-R-GB"/>
          <w:b w:val="0"/>
          <w:i w:val="0"/>
          <w:caps w:val="0"/>
          <w:color w:val="auto"/>
          <w:spacing w:val="0"/>
          <w:sz w:val="28"/>
          <w:szCs w:val="27"/>
          <w:u w:val="none"/>
        </w:rPr>
      </w:pPr>
      <w:r>
        <w:rPr>
          <w:rFonts w:hint="default" w:ascii="仿宋" w:hAnsi="FZYaSongS-R-GB" w:eastAsia="仿宋" w:cs="FZYaSongS-R-GB"/>
          <w:b/>
          <w:bCs/>
          <w:i w:val="0"/>
          <w:caps w:val="0"/>
          <w:color w:val="auto"/>
          <w:spacing w:val="0"/>
          <w:sz w:val="28"/>
          <w:szCs w:val="27"/>
          <w:u w:val="none"/>
        </w:rPr>
        <w:t>（一）指导思想。</w:t>
      </w:r>
      <w:r>
        <w:rPr>
          <w:rFonts w:hint="default" w:ascii="仿宋" w:hAnsi="FZYaSongS-R-GB" w:eastAsia="仿宋" w:cs="FZYaSongS-R-GB"/>
          <w:b w:val="0"/>
          <w:i w:val="0"/>
          <w:caps w:val="0"/>
          <w:color w:val="auto"/>
          <w:spacing w:val="0"/>
          <w:sz w:val="28"/>
          <w:szCs w:val="27"/>
          <w:u w:val="none"/>
        </w:rPr>
        <w:t>以习近平新时代中国特色社会主义思想为指导，全面贯彻党的十九大和十九届二中、三中、四中全会精神，全面贯彻党的教育方针，坚持社会主义办学方向，落实立德树人根本任务，遵循教育规律，系统推进教育评价改革，发展素质教育，引导全党全社会树立科学的教育发展观、人才成长观、选人用人观，推动构建服务全民终身学习的教育体系，努力培养担当民族复兴大任的时代新人，培养德智体美劳全面发展的社会主义建设者和接班人。</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default" w:ascii="仿宋" w:hAnsi="FZYaSongS-R-GB" w:eastAsia="仿宋" w:cs="FZYaSongS-R-GB"/>
          <w:b w:val="0"/>
          <w:i w:val="0"/>
          <w:caps w:val="0"/>
          <w:color w:val="auto"/>
          <w:spacing w:val="0"/>
          <w:sz w:val="28"/>
          <w:szCs w:val="27"/>
          <w:u w:val="none"/>
        </w:rPr>
      </w:pPr>
      <w:r>
        <w:rPr>
          <w:rFonts w:hint="default" w:ascii="仿宋" w:hAnsi="FZYaSongS-R-GB" w:eastAsia="仿宋" w:cs="FZYaSongS-R-GB"/>
          <w:b/>
          <w:bCs/>
          <w:i w:val="0"/>
          <w:caps w:val="0"/>
          <w:color w:val="auto"/>
          <w:spacing w:val="0"/>
          <w:sz w:val="28"/>
          <w:szCs w:val="27"/>
          <w:u w:val="none"/>
        </w:rPr>
        <w:t>（二）主要原则。</w:t>
      </w:r>
      <w:r>
        <w:rPr>
          <w:rFonts w:hint="default" w:ascii="仿宋" w:hAnsi="FZYaSongS-R-GB" w:eastAsia="仿宋" w:cs="FZYaSongS-R-GB"/>
          <w:b w:val="0"/>
          <w:i w:val="0"/>
          <w:caps w:val="0"/>
          <w:color w:val="auto"/>
          <w:spacing w:val="0"/>
          <w:sz w:val="28"/>
          <w:szCs w:val="27"/>
          <w:u w:val="none"/>
        </w:rPr>
        <w:t>坚持立德树人，牢记为党育人、为国育才使命，充分发挥教育评价的指挥棒作用，引导确立科学的育人目标，确保教育正确发展方向。坚持问题导向，从党中央关心、群众关切、社会关注的问题入手，破立并举，推进教育评价关键领域改革取得实质性突破。坚持科学有效，改进结果评价，强化过程评价，探索增值评价，健全综合评价，充分利用信息技术，提高教育评价的科学性、专业性、客观性。坚持统筹兼顾，针对不同主体和不同学段、不同类型教育特点，分类设计、稳步推进，增强改革的系统性、整体性、协同性。坚持中国特色，扎根中国、融通中外，立足时代、面向未来，坚定不移走中国特色社会主义教育发展道路。</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default" w:ascii="仿宋" w:hAnsi="FZYaSongS-R-GB" w:eastAsia="仿宋" w:cs="FZYaSongS-R-GB"/>
          <w:b w:val="0"/>
          <w:i w:val="0"/>
          <w:caps w:val="0"/>
          <w:color w:val="auto"/>
          <w:spacing w:val="0"/>
          <w:sz w:val="28"/>
          <w:szCs w:val="27"/>
          <w:u w:val="none"/>
        </w:rPr>
      </w:pPr>
      <w:r>
        <w:rPr>
          <w:rFonts w:hint="default" w:ascii="仿宋" w:hAnsi="FZYaSongS-R-GB" w:eastAsia="仿宋" w:cs="FZYaSongS-R-GB"/>
          <w:b/>
          <w:bCs/>
          <w:i w:val="0"/>
          <w:caps w:val="0"/>
          <w:color w:val="auto"/>
          <w:spacing w:val="0"/>
          <w:sz w:val="28"/>
          <w:szCs w:val="27"/>
          <w:u w:val="none"/>
        </w:rPr>
        <w:t>（三）改革目标。</w:t>
      </w:r>
      <w:r>
        <w:rPr>
          <w:rFonts w:hint="default" w:ascii="仿宋" w:hAnsi="FZYaSongS-R-GB" w:eastAsia="仿宋" w:cs="FZYaSongS-R-GB"/>
          <w:b w:val="0"/>
          <w:i w:val="0"/>
          <w:caps w:val="0"/>
          <w:color w:val="auto"/>
          <w:spacing w:val="0"/>
          <w:sz w:val="28"/>
          <w:szCs w:val="27"/>
          <w:u w:val="none"/>
        </w:rPr>
        <w:t>经过5至10年努力，各级党委和政府科学履行职责水平明显提高，各级各类学校立德树人落实机制更加完善，引导教师潜心育人的评价制度更加健全，促进学生全面发展的评价办法更加多元，社会选人用人方式更加科学。到2035年，基本形成富有时代特征、彰显中国特色、体现世界水平的教育评价体系。</w:t>
      </w:r>
    </w:p>
    <w:p>
      <w:pPr>
        <w:pStyle w:val="3"/>
        <w:widowControl/>
        <w:pBdr>
          <w:top w:val="none" w:color="auto" w:sz="0" w:space="0"/>
          <w:left w:val="none" w:color="auto" w:sz="0" w:space="0"/>
          <w:bottom w:val="none" w:color="auto" w:sz="0" w:space="0"/>
          <w:right w:val="none" w:color="auto" w:sz="0" w:space="0"/>
        </w:pBdr>
        <w:snapToGrid/>
        <w:spacing w:before="260" w:beforeAutospacing="0" w:after="260" w:afterAutospacing="0" w:line="413" w:lineRule="auto"/>
        <w:ind w:left="0" w:leftChars="0" w:right="0" w:rightChars="0" w:firstLine="0" w:firstLineChars="0"/>
        <w:jc w:val="both"/>
        <w:outlineLvl w:val="0"/>
        <w:rPr>
          <w:rFonts w:hint="default" w:ascii="Arial" w:hAnsi="FZYaSongS-R-GB" w:eastAsia="黑体" w:cs="FZYaSongS-R-GB"/>
          <w:b/>
          <w:bCs/>
          <w:i w:val="0"/>
          <w:caps w:val="0"/>
          <w:color w:val="auto"/>
          <w:spacing w:val="0"/>
          <w:sz w:val="28"/>
          <w:szCs w:val="27"/>
          <w:u w:val="none"/>
        </w:rPr>
      </w:pPr>
      <w:r>
        <w:rPr>
          <w:rStyle w:val="6"/>
          <w:rFonts w:hint="default" w:ascii="Arial" w:hAnsi="FZYaSongS-R-GB" w:eastAsia="黑体" w:cs="FZYaSongS-R-GB"/>
          <w:b/>
          <w:bCs/>
          <w:i w:val="0"/>
          <w:caps w:val="0"/>
          <w:color w:val="auto"/>
          <w:spacing w:val="0"/>
          <w:sz w:val="28"/>
          <w:szCs w:val="27"/>
          <w:u w:val="none"/>
        </w:rPr>
        <w:t>二、重点任务</w:t>
      </w:r>
    </w:p>
    <w:p>
      <w:pPr>
        <w:pStyle w:val="3"/>
        <w:widowControl/>
        <w:pBdr>
          <w:top w:val="none" w:color="auto" w:sz="0" w:space="0"/>
          <w:left w:val="none" w:color="auto" w:sz="0" w:space="0"/>
          <w:bottom w:val="none" w:color="auto" w:sz="0" w:space="0"/>
          <w:right w:val="none" w:color="auto" w:sz="0" w:space="0"/>
        </w:pBdr>
        <w:snapToGrid/>
        <w:spacing w:before="260" w:beforeAutospacing="0" w:after="260" w:afterAutospacing="0" w:line="413" w:lineRule="auto"/>
        <w:ind w:left="0" w:leftChars="0" w:right="0" w:rightChars="0" w:firstLine="0" w:firstLineChars="0"/>
        <w:jc w:val="left"/>
        <w:outlineLvl w:val="1"/>
        <w:rPr>
          <w:rFonts w:hint="eastAsia" w:ascii="仿宋" w:hAnsi="仿宋" w:eastAsia="仿宋" w:cs="仿宋"/>
          <w:b/>
          <w:i w:val="0"/>
          <w:caps w:val="0"/>
          <w:color w:val="auto"/>
          <w:spacing w:val="0"/>
          <w:sz w:val="28"/>
          <w:szCs w:val="27"/>
          <w:u w:val="none"/>
        </w:rPr>
      </w:pPr>
      <w:r>
        <w:rPr>
          <w:rFonts w:hint="eastAsia" w:ascii="仿宋" w:hAnsi="仿宋" w:eastAsia="仿宋" w:cs="仿宋"/>
          <w:b/>
          <w:i w:val="0"/>
          <w:caps w:val="0"/>
          <w:color w:val="auto"/>
          <w:spacing w:val="0"/>
          <w:sz w:val="28"/>
          <w:szCs w:val="27"/>
          <w:u w:val="none"/>
        </w:rPr>
        <w:t>（一）改革党委和政府教育工作评价，推进科学履行职责</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1.完善党对教育工作全面领导的体制机制。各级党委要认真落实领导责任，建立健全党委统一领导、党政齐抓共管、部门各负其责的教育领导体制，履行好把方向、管大局、作决策、保落实的职责，把思想政治工作作为学校各项工作的生命线紧紧抓在手上，贯穿学校教育管理全过程，牢固树立科学的教育发展理念，坚决克服短视行为、功利化倾向。各级党委和政府要完善定期研究教育工作机制，建立健全党政主要负责同志深入教育一线调研、为师生上思政课、联系学校和年终述职必述教育工作等制度。</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2.完善政府履行教育职责评价。对省级政府主要考核全面贯彻党的教育方针和党中央关于教育工作的决策部署、落实教育优先发展战略、解决人民群众普遍关心的教育突出问题等情况，既评估最终结果，也考核努力程度及进步发展。各地根据国家层面确立的评价内容和指标，结合实际进行细化，作为对下一级政府履行教育职责评价的依据。</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3.坚决纠正片面追求升学率倾向。各级党委和政府要坚持正确政绩观，不得下达升学指标或以中高考升学率考核下一级党委和政府、教育部门、学校和教师，不得将升学率与学校工程项目、经费分配、评优评先等挂钩，不得通过任何形式以中高考成绩为标准奖励教师和学生，严禁公布、宣传、炒作中高考“状元”和升学率。对教育生态问题突出、造成严重社会影响的，依规依法问责追责。</w:t>
      </w:r>
    </w:p>
    <w:p>
      <w:pPr>
        <w:pStyle w:val="3"/>
        <w:widowControl/>
        <w:pBdr>
          <w:top w:val="none" w:color="auto" w:sz="0" w:space="0"/>
          <w:left w:val="none" w:color="auto" w:sz="0" w:space="0"/>
          <w:bottom w:val="none" w:color="auto" w:sz="0" w:space="0"/>
          <w:right w:val="none" w:color="auto" w:sz="0" w:space="0"/>
        </w:pBdr>
        <w:snapToGrid/>
        <w:spacing w:before="260" w:beforeAutospacing="0" w:after="260" w:afterAutospacing="0" w:line="413" w:lineRule="auto"/>
        <w:ind w:left="0" w:leftChars="0" w:right="0" w:rightChars="0" w:firstLine="0" w:firstLineChars="0"/>
        <w:jc w:val="left"/>
        <w:outlineLvl w:val="1"/>
        <w:rPr>
          <w:rFonts w:hint="eastAsia" w:ascii="仿宋" w:hAnsi="仿宋" w:eastAsia="仿宋" w:cs="仿宋"/>
          <w:b/>
          <w:i w:val="0"/>
          <w:caps w:val="0"/>
          <w:color w:val="auto"/>
          <w:spacing w:val="0"/>
          <w:sz w:val="28"/>
          <w:szCs w:val="27"/>
          <w:u w:val="none"/>
        </w:rPr>
      </w:pPr>
      <w:r>
        <w:rPr>
          <w:rFonts w:hint="eastAsia" w:ascii="仿宋" w:hAnsi="仿宋" w:eastAsia="仿宋" w:cs="仿宋"/>
          <w:b/>
          <w:i w:val="0"/>
          <w:caps w:val="0"/>
          <w:color w:val="auto"/>
          <w:spacing w:val="0"/>
          <w:sz w:val="28"/>
          <w:szCs w:val="27"/>
          <w:u w:val="none"/>
        </w:rPr>
        <w:t>（二）改革学校评价，推进落实立德树人根本任务</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4.坚持把立德树人成效作为根本标准。加快完善各级各类学校评价标准，将落实党的全面领导、坚持正确办学方向、加强和改进学校党的建设以及党建带团建队建、做好思想政治工作和意识形态工作、依法治校办学、维护安全稳定作为评价学校及其领导人员、管理人员的重要内容，健全学校内部质量保障制度，坚决克服重智育轻德育、重分数轻素质等片面办学行为，促进学生身心健康、全面发展。</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5.完善幼儿园评价。重点评价幼儿园科学保教、规范办园、安全卫生、队伍建设、克服小学化倾向等情况。国家制定幼儿园保教质量评估指南，各省（自治区、直辖市）完善幼儿园质量评估标准，将各类幼儿园纳入质量评估范畴，定期向社会公布评估结果。</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6.改进中小学校评价。义务教育学校重点评价促进学生全面发展、保障学生平等权益、引领教师专业发展、提升教育教学水平、营造和谐育人环境、建设现代学校制度以及学业负担、社会满意度等情况。国家制定义务教育学校办学质量评价标准，完善义务教育质量监测制度，加强监测结果运用，促进义务教育优质均衡发展。普通高中主要评价学生全面发展的培养情况。国家制定普通高中办学质量评价标准，突出实施学生综合素质评价、开展学生发展指导、优化教学资源配置、有序推进选课走班、规范招生办学行为等内容。</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7.健全职业学校评价。重点评价职业学校（含技工院校，下同）德技并修、产教融合、校企合作、育训结合、学生获取职业资格或职业技能等级证书、毕业生就业质量、“双师型”教师（含技工院校“一体化”教师，下同）队伍建设等情况，扩大行业企业参与评价，引导培养高素质劳动者和技术技能人才。深化职普融通，探索具有中国特色的高层次学徒制，完善与职业教育发展相适应的学位授予标准和评价机制。加大职业培训、服务区域和行业的评价权重，将承担职业培训情况作为核定职业学校教师绩效工资总量的重要依据，推动健全终身职业技能培训制度。</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8.改进高等学校评价。推进高校分类评价，引导不同类型高校科学定位，办出特色和水平。改进本科教育教学评估，突出思想政治教育、教授为本科生上课、生师比、生均课程门数、优势特色专业、学位论文（毕业设计）指导、学生管理与服务、学生参加社会实践、毕业生发展、用人单位满意度等。改进学科评估，强化人才培养中心地位，淡化论文收录数、引用率、奖项数等数量指标，突出学科特色、质量和贡献，纠正片面以学术头衔评价学术水平的做法，教师成果严格按署名单位认定、不随人走。探索建立应用型本科评价标准，突出培养相应专业能力和实践应用能力。制定“双一流”建设成效评价办法，突出培养一流人才、产出一流成果、主动服务国家需求，引导高校争创世界一流。改进师范院校评价，把办好师范教育作为第一职责，将培养合格教师作为主要考核指标。改进高校经费使用绩效评价，引导高校加大对教育教学、基础研究的支持力度。改进高校国际交流合作评价，促进提升校际交流、来华留学、合作办学、海外人才引进等工作质量。探索开展高校服务全民终身学习情况评价，促进学习型社会建设。</w:t>
      </w:r>
    </w:p>
    <w:p>
      <w:pPr>
        <w:pStyle w:val="3"/>
        <w:widowControl/>
        <w:pBdr>
          <w:top w:val="none" w:color="auto" w:sz="0" w:space="0"/>
          <w:left w:val="none" w:color="auto" w:sz="0" w:space="0"/>
          <w:bottom w:val="none" w:color="auto" w:sz="0" w:space="0"/>
          <w:right w:val="none" w:color="auto" w:sz="0" w:space="0"/>
        </w:pBdr>
        <w:snapToGrid/>
        <w:spacing w:before="260" w:beforeAutospacing="0" w:after="260" w:afterAutospacing="0" w:line="413" w:lineRule="auto"/>
        <w:ind w:left="0" w:leftChars="0" w:right="0" w:rightChars="0" w:firstLine="0" w:firstLineChars="0"/>
        <w:jc w:val="left"/>
        <w:outlineLvl w:val="1"/>
        <w:rPr>
          <w:rFonts w:hint="eastAsia" w:ascii="仿宋" w:hAnsi="仿宋" w:eastAsia="仿宋" w:cs="仿宋"/>
          <w:b/>
          <w:i w:val="0"/>
          <w:caps w:val="0"/>
          <w:color w:val="auto"/>
          <w:spacing w:val="0"/>
          <w:sz w:val="28"/>
          <w:szCs w:val="27"/>
          <w:u w:val="none"/>
        </w:rPr>
      </w:pPr>
      <w:r>
        <w:rPr>
          <w:rFonts w:hint="eastAsia" w:ascii="仿宋" w:hAnsi="仿宋" w:eastAsia="仿宋" w:cs="仿宋"/>
          <w:b/>
          <w:i w:val="0"/>
          <w:caps w:val="0"/>
          <w:color w:val="auto"/>
          <w:spacing w:val="0"/>
          <w:sz w:val="28"/>
          <w:szCs w:val="27"/>
          <w:u w:val="none"/>
        </w:rPr>
        <w:t>（三）改革教师评价，推进践行教书育人使命</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9.坚持把师德师风作为第一标准。坚决克服重科研轻教学、重教书轻育人等现象，把师德表现作为教师资格定期注册、业绩考核、职称评聘、评优奖励首要要求，强化教师思想政治素质考察，推动师德师风建设常态化、长效化。健全教师荣誉制度，发挥典型示范引领作用。全面落实新时代幼儿园、中小学、高校教师职业行为准则，建立师德失范行为通报警示制度。对出现严重师德师风问题的教师，探索实施教育全行业禁入制度。</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10.突出教育教学实绩。把认真履行教育教学职责作为评价教师的基本要求，引导教师上好每一节课、关爱每一个学生。幼儿园教师评价突出保教实践，把以游戏为基本活动促进儿童主动学习和全面发展的能力作为关键指标，纳入学前教育专业人才培养标准、幼儿教师职后培训重要内容。探索建立中小学教师教学述评制度，任课教师每学期须对每个学生进行学业述评，述评情况纳入教师考核内容。完善中小学教师绩效考核办法，绩效工资分配向班主任倾斜，向教学一线和教育教学效果突出的教师倾斜。健全“双师型”教师认定、聘用、考核等评价标准，突出实践技能水平和专业教学能力。规范高校教师聘用和职称评聘条件设置，不得将国（境）外学习经历作为限制性条件。把参与教研活动，编写教材、案例，指导学生毕业设计、就业、创新创业、社会实践、社团活动、竞赛展演等计入工作量。落实教授上课制度，高校应明确教授承担本（专）科生教学最低课时要求，确保教学质量，对未达到要求的给予年度或聘期考核不合格处理。支持建设高质量教学研究类学术期刊，鼓励高校学报向教学研究倾斜。完善教材质量监控和评价机制，实施教材建设国家奖励制度，每四年评选一次，对作出突出贡献的教师按规定进行表彰奖励。完善国家教学成果奖评选制度，优化获奖种类和入选名额分配。</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11.强化一线学生工作。各级各类学校要明确领导干部和教师参与学生工作的具体要求。落实中小学教师家访制度，将家校联系情况纳入教师考核。高校领导班子成员年度述职要把上思政课、联系学生情况作为重要内容。完善学校党政管理干部选拔任用机制，原则上应有思政课教师、辅导员或班主任等学生工作经历。高校青年教师晋升高一级职称，至少须有一年担任辅导员、班主任等学生工作经历。</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12.改进高校教师科研评价。突出质量导向，重点评价学术贡献、社会贡献以及支撑人才培养情况，不得将论文数、项目数、课题经费等科研量化指标与绩效工资分配、奖励挂钩。根据不同学科、不同岗位特点，坚持分类评价，推行代表性成果评价，探索长周期评价，完善同行专家评议机制，注重个人评价与团队评价相结合。探索国防科技等特殊领域教师科研专门评价办法。对取得重大理论创新成果、前沿技术突破、解决重大工程技术难题、在经济社会事业发展中作出重大贡献的，申报高级职称时论文可不作限制性要求。</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13.推进人才称号回归学术性、荣誉性。切实精简人才“帽子”，优化整合涉教育领域各类人才计划。不得把人才称号作为承担科研项目、职称评聘、评优评奖、学位点申报的限制性条件，有关申报书不得设置填写人才称号栏目。依据实际贡献合理确定人才薪酬，不得将人才称号与物质利益简单挂钩。鼓励中西部、东北地区高校“长江学者”等人才称号入选者与学校签订长期服务合同，为实施国家和区域发展战略贡献力量。</w:t>
      </w:r>
    </w:p>
    <w:p>
      <w:pPr>
        <w:pStyle w:val="3"/>
        <w:widowControl/>
        <w:pBdr>
          <w:top w:val="none" w:color="auto" w:sz="0" w:space="0"/>
          <w:left w:val="none" w:color="auto" w:sz="0" w:space="0"/>
          <w:bottom w:val="none" w:color="auto" w:sz="0" w:space="0"/>
          <w:right w:val="none" w:color="auto" w:sz="0" w:space="0"/>
        </w:pBdr>
        <w:snapToGrid/>
        <w:spacing w:before="260" w:beforeAutospacing="0" w:after="260" w:afterAutospacing="0" w:line="413" w:lineRule="auto"/>
        <w:ind w:left="0" w:leftChars="0" w:right="0" w:rightChars="0" w:firstLine="0" w:firstLineChars="0"/>
        <w:jc w:val="left"/>
        <w:outlineLvl w:val="1"/>
        <w:rPr>
          <w:rFonts w:hint="eastAsia" w:ascii="仿宋" w:hAnsi="仿宋" w:eastAsia="仿宋" w:cs="仿宋"/>
          <w:b/>
          <w:i w:val="0"/>
          <w:caps w:val="0"/>
          <w:color w:val="auto"/>
          <w:spacing w:val="0"/>
          <w:sz w:val="28"/>
          <w:szCs w:val="27"/>
          <w:u w:val="none"/>
        </w:rPr>
      </w:pPr>
      <w:r>
        <w:rPr>
          <w:rFonts w:hint="eastAsia" w:ascii="仿宋" w:hAnsi="仿宋" w:eastAsia="仿宋" w:cs="仿宋"/>
          <w:b/>
          <w:i w:val="0"/>
          <w:caps w:val="0"/>
          <w:color w:val="auto"/>
          <w:spacing w:val="0"/>
          <w:sz w:val="28"/>
          <w:szCs w:val="27"/>
          <w:u w:val="none"/>
        </w:rPr>
        <w:t>（四）改革学生评价，促进德智体美劳全面发展</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14.树立科学成才观念。坚持以德为先、能力为重、全面发展，坚持面向人人、因材施教、知行合一，坚决改变用分数给学生贴标签的做法，创新德智体美劳过程性评价办法，完善综合素质评价体系，切实引导学生坚定理想信念、厚植爱国主义情怀、加强品德修养、增长知识见识、培养奋斗精神、增强综合素质。</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15.完善德育评价。根据学生不同阶段身心特点，科学设计各级各类教育德育目标要求，引导学生养成良好思想道德、心理素质和行为习惯，传承红色基因，增强“四个自信”，立志听党话、跟党走，立志扎根人民、奉献国家。通过信息化等手段，探索学生、家长、教师以及社区等参与评价的有效方式，客观记录学生品行日常表现和突出表现，特别是践行社会主义核心价值观情况，将其作为学生综合素质评价的重要内容。</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16.强化体育评价。建立日常参与、体质监测和专项运动技能测试相结合的考查机制，将达到国家学生体质健康标准要求作为教育教学考核的重要内容，引导学生养成良好锻炼习惯和健康生活方式，锤炼坚强意志，培养合作精神。中小学校要客观记录学生日常体育参与情况和体质健康监测结果，定期向家长反馈。改进中考体育测试内容、方式和计分办法，形成激励学生加强体育锻炼的有效机制。加强大学生体育评价，探索在高等教育所有阶段开设体育课程。</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17.改进美育评价。把中小学生学习音乐、美术、书法等艺术类课程以及参与学校组织的艺术实践活动情况纳入学业要求，促进学生形成艺术爱好、增强艺术素养，全面提升学生感受美、表现美、鉴赏美、创造美的能力。探索将艺术类科目纳入中考改革试点。推动高校将公共艺术课程与艺术实践纳入人才培养方案，实行学分制管理，学生修满规定学分方能毕业。</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18.加强劳动教育评价。实施大中小学劳动教育指导纲要，明确不同学段、不同年级劳动教育的目标要求，引导学生崇尚劳动、尊重劳动。探索建立劳动清单制度，明确学生参加劳动的具体内容和要求，让学生在实践中养成劳动习惯，学会劳动、学会勤俭。加强过程性评价，将参与劳动教育课程学习和实践情况纳入学生综合素质档案。</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19.严格学业标准。完善各级各类学校学生学业要求，严把出口关。对初、高中毕业班学生，学校须合理安排中高考结束后至暑假前的教育活动。完善过程性考核与结果性考核有机结合的学业考评制度，加强课堂参与和课堂纪律考查，引导学生树立良好学风。探索学士学位论文（毕业设计）抽检试点工作，完善博士、硕士学位论文抽检工作，严肃处理各类学术不端行为。完善实习（实训）考核办法，确保学生足额、真实参加实习（实训）。</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20.深化考试招生制度改革。稳步推进中高考改革，构建引导学生德智体美劳全面发展的考试内容体系，改变相对固化的试题形式，增强试题开放性，减少死记硬背和“机械刷题”现象。加快完善初、高中学生综合素质档案建设和使用办法，逐步转变简单以考试成绩为唯一标准的招生模式。完善高等职业教育“文化素质+职业技能”考试招生办法。深化研究生考试招生改革，加强科研创新能力和实践能力考查。各级各类学校不得通过设置奖金等方式违规争抢生源。探索建立学分银行制度，推动多种形式学习成果的认定、积累和转换，实现不同类型教育、学历与非学历教育、校内与校外教育之间互通衔接，畅通终身学习和人才成长渠道。</w:t>
      </w:r>
    </w:p>
    <w:p>
      <w:pPr>
        <w:pStyle w:val="3"/>
        <w:widowControl/>
        <w:pBdr>
          <w:top w:val="none" w:color="auto" w:sz="0" w:space="0"/>
          <w:left w:val="none" w:color="auto" w:sz="0" w:space="0"/>
          <w:bottom w:val="none" w:color="auto" w:sz="0" w:space="0"/>
          <w:right w:val="none" w:color="auto" w:sz="0" w:space="0"/>
        </w:pBdr>
        <w:snapToGrid/>
        <w:spacing w:before="260" w:beforeAutospacing="0" w:after="260" w:afterAutospacing="0" w:line="413" w:lineRule="auto"/>
        <w:ind w:left="0" w:leftChars="0" w:right="0" w:rightChars="0" w:firstLine="0" w:firstLineChars="0"/>
        <w:jc w:val="left"/>
        <w:outlineLvl w:val="1"/>
        <w:rPr>
          <w:rFonts w:hint="eastAsia" w:ascii="仿宋" w:hAnsi="仿宋" w:eastAsia="仿宋" w:cs="仿宋"/>
          <w:b/>
          <w:i w:val="0"/>
          <w:caps w:val="0"/>
          <w:color w:val="auto"/>
          <w:spacing w:val="0"/>
          <w:sz w:val="28"/>
          <w:szCs w:val="27"/>
          <w:u w:val="none"/>
        </w:rPr>
      </w:pPr>
      <w:r>
        <w:rPr>
          <w:rFonts w:hint="eastAsia" w:ascii="仿宋" w:hAnsi="仿宋" w:eastAsia="仿宋" w:cs="仿宋"/>
          <w:b/>
          <w:i w:val="0"/>
          <w:caps w:val="0"/>
          <w:color w:val="auto"/>
          <w:spacing w:val="0"/>
          <w:sz w:val="28"/>
          <w:szCs w:val="27"/>
          <w:u w:val="none"/>
        </w:rPr>
        <w:t>（五）改革用人评价，共同营造教育发展良好环境</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21.树立正确用人导向。党政机关、事业单位、国有企业要带头扭转“唯名校”、“唯学历”的用人导向，建立以品德和能力为导向、以岗位需求为目标的人才使用机制，改变人才“高消费”状况，形成不拘一格降人才的良好局面。</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7"/>
          <w:u w:val="none"/>
        </w:rPr>
      </w:pPr>
      <w:r>
        <w:rPr>
          <w:rFonts w:hint="eastAsia" w:ascii="仿宋" w:hAnsi="仿宋" w:eastAsia="仿宋" w:cs="仿宋"/>
          <w:b w:val="0"/>
          <w:i w:val="0"/>
          <w:caps w:val="0"/>
          <w:color w:val="auto"/>
          <w:spacing w:val="0"/>
          <w:sz w:val="28"/>
          <w:szCs w:val="27"/>
          <w:u w:val="none"/>
        </w:rPr>
        <w:t>22.促进人岗相适。各级公务员招录、事业单位和国有企业招聘要按照岗位需求合理制定招考条件、确定学历层次，在招聘公告和实际操作中不得将毕业院校、国（境）外学习经历、学习方式作为限制性条件。职业学校毕业生在落户、就业、参加机关企事业单位招聘、职称评聘、职务职级晋升等方面，与普通学校毕业生同等对待。用人单位要科学合理确定岗位职责，坚持以岗定薪、按劳取酬、优劳优酬，建立重实绩、重贡献的激励机制。</w:t>
      </w:r>
    </w:p>
    <w:p>
      <w:pPr>
        <w:pStyle w:val="3"/>
        <w:widowControl/>
        <w:pBdr>
          <w:top w:val="none" w:color="auto" w:sz="0" w:space="0"/>
          <w:left w:val="none" w:color="auto" w:sz="0" w:space="0"/>
          <w:bottom w:val="none" w:color="auto" w:sz="0" w:space="0"/>
          <w:right w:val="none" w:color="auto" w:sz="0" w:space="0"/>
        </w:pBdr>
        <w:snapToGrid/>
        <w:spacing w:before="260" w:beforeAutospacing="0" w:after="260" w:afterAutospacing="0" w:line="413" w:lineRule="auto"/>
        <w:ind w:left="0" w:leftChars="0" w:right="0" w:rightChars="0" w:firstLine="0" w:firstLineChars="0"/>
        <w:jc w:val="both"/>
        <w:outlineLvl w:val="0"/>
        <w:rPr>
          <w:rFonts w:hint="default" w:ascii="Arial" w:hAnsi="FZYaSongS-R-GB" w:eastAsia="黑体" w:cs="FZYaSongS-R-GB"/>
          <w:b/>
          <w:bCs/>
          <w:i w:val="0"/>
          <w:caps w:val="0"/>
          <w:color w:val="auto"/>
          <w:spacing w:val="0"/>
          <w:sz w:val="28"/>
          <w:szCs w:val="27"/>
          <w:u w:val="none"/>
        </w:rPr>
      </w:pPr>
      <w:r>
        <w:rPr>
          <w:rStyle w:val="6"/>
          <w:rFonts w:hint="default" w:ascii="Arial" w:hAnsi="FZYaSongS-R-GB" w:eastAsia="黑体" w:cs="FZYaSongS-R-GB"/>
          <w:b/>
          <w:bCs/>
          <w:i w:val="0"/>
          <w:caps w:val="0"/>
          <w:color w:val="auto"/>
          <w:spacing w:val="0"/>
          <w:sz w:val="28"/>
          <w:szCs w:val="27"/>
          <w:u w:val="none"/>
        </w:rPr>
        <w:t>三、组织实施</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8"/>
          <w:u w:val="none"/>
        </w:rPr>
      </w:pPr>
      <w:r>
        <w:rPr>
          <w:rFonts w:hint="eastAsia" w:ascii="仿宋" w:hAnsi="仿宋" w:eastAsia="仿宋" w:cs="仿宋"/>
          <w:b/>
          <w:bCs/>
          <w:i w:val="0"/>
          <w:caps w:val="0"/>
          <w:color w:val="auto"/>
          <w:spacing w:val="0"/>
          <w:sz w:val="28"/>
          <w:szCs w:val="28"/>
          <w:u w:val="none"/>
        </w:rPr>
        <w:t>（一）落实改革责任。</w:t>
      </w:r>
      <w:r>
        <w:rPr>
          <w:rFonts w:hint="eastAsia" w:ascii="仿宋" w:hAnsi="仿宋" w:eastAsia="仿宋" w:cs="仿宋"/>
          <w:b w:val="0"/>
          <w:i w:val="0"/>
          <w:caps w:val="0"/>
          <w:color w:val="auto"/>
          <w:spacing w:val="0"/>
          <w:sz w:val="28"/>
          <w:szCs w:val="28"/>
          <w:u w:val="none"/>
        </w:rPr>
        <w:t>各级党委和政府要加强组织领导，把深化教育评价改革列入重要议事日程，根据本方案要求，结合实际明确落实举措。各级党委教育工作领导小组要加强统筹协调、宣传引导和督促落实。中央和国家机关有关部门要结合职责，及时制定配套制度。各级各类学校要狠抓落实，切实破除“五唯”顽瘴痼疾。国家和各省（自治区、直辖市）选择有条件的地方、学校和单位进行试点，发挥示范带动作用。教育督导要将推进教育评价改革情况作为重要内容，对违反相关规定的予以督促纠正，依规依法对相关责任人员严肃处理。</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8"/>
          <w:u w:val="none"/>
        </w:rPr>
      </w:pPr>
      <w:r>
        <w:rPr>
          <w:rFonts w:hint="eastAsia" w:ascii="仿宋" w:hAnsi="仿宋" w:eastAsia="仿宋" w:cs="仿宋"/>
          <w:b/>
          <w:bCs/>
          <w:i w:val="0"/>
          <w:caps w:val="0"/>
          <w:color w:val="auto"/>
          <w:spacing w:val="0"/>
          <w:sz w:val="28"/>
          <w:szCs w:val="28"/>
          <w:u w:val="none"/>
        </w:rPr>
        <w:t>（二）加强专业化建设。</w:t>
      </w:r>
      <w:r>
        <w:rPr>
          <w:rFonts w:hint="eastAsia" w:ascii="仿宋" w:hAnsi="仿宋" w:eastAsia="仿宋" w:cs="仿宋"/>
          <w:b w:val="0"/>
          <w:i w:val="0"/>
          <w:caps w:val="0"/>
          <w:color w:val="auto"/>
          <w:spacing w:val="0"/>
          <w:sz w:val="28"/>
          <w:szCs w:val="28"/>
          <w:u w:val="none"/>
        </w:rPr>
        <w:t>构建政府、学校、社会等多元参与的评价体系，建立健全教育督导部门统一负责的教育评估监测机制，发挥专业机构和社会组织作用。严格控制教育评价活动数量和频次，减少多头评价、重复评价，切实减轻基层和学校负担。各地要创新基础教育教研工作指导方式，严格控制以考试方式抽检评测学校和学生。创新评价工具，利用人工智能、大数据等现代信息技术，探索开展学生各年级学习情况全过程纵向评价、德智体美劳全要素横向评价。完善评价结果运用，综合发挥导向、鉴定、诊断、调控和改进作用。加强教师教育评价能力建设，支持有条件的高校设立教育评价、教育测量等相关学科专业，培养教育评价专门人才。加强国家教育考试工作队伍建设，完善教师参与命题和考务工作的激励机制。积极开展教育评价国际合作，参与联合国2030年可持续发展议程教育目标实施监测评估，彰显中国理念，贡献中国方案。</w:t>
      </w:r>
    </w:p>
    <w:p>
      <w:pPr>
        <w:pStyle w:val="3"/>
        <w:widowControl/>
        <w:pBdr>
          <w:top w:val="none" w:color="auto" w:sz="0" w:space="0"/>
          <w:left w:val="none" w:color="auto" w:sz="0" w:space="0"/>
          <w:bottom w:val="none" w:color="auto" w:sz="0" w:space="0"/>
          <w:right w:val="none" w:color="auto" w:sz="0" w:space="0"/>
        </w:pBdr>
        <w:snapToGrid/>
        <w:spacing w:beforeAutospacing="0" w:afterAutospacing="0" w:line="240" w:lineRule="auto"/>
        <w:ind w:left="0" w:leftChars="0" w:right="0" w:firstLine="0"/>
        <w:jc w:val="left"/>
        <w:rPr>
          <w:rFonts w:hint="eastAsia" w:ascii="仿宋" w:hAnsi="仿宋" w:eastAsia="仿宋" w:cs="仿宋"/>
          <w:b w:val="0"/>
          <w:i w:val="0"/>
          <w:caps w:val="0"/>
          <w:color w:val="auto"/>
          <w:spacing w:val="0"/>
          <w:sz w:val="28"/>
          <w:szCs w:val="28"/>
          <w:u w:val="none"/>
        </w:rPr>
      </w:pPr>
      <w:r>
        <w:rPr>
          <w:rFonts w:hint="eastAsia" w:ascii="仿宋" w:hAnsi="仿宋" w:eastAsia="仿宋" w:cs="仿宋"/>
          <w:b/>
          <w:bCs/>
          <w:i w:val="0"/>
          <w:caps w:val="0"/>
          <w:color w:val="auto"/>
          <w:spacing w:val="0"/>
          <w:sz w:val="28"/>
          <w:szCs w:val="28"/>
          <w:u w:val="none"/>
        </w:rPr>
        <w:t>（三）营造良好氛围。</w:t>
      </w:r>
      <w:r>
        <w:rPr>
          <w:rFonts w:hint="eastAsia" w:ascii="仿宋" w:hAnsi="仿宋" w:eastAsia="仿宋" w:cs="仿宋"/>
          <w:b w:val="0"/>
          <w:i w:val="0"/>
          <w:caps w:val="0"/>
          <w:color w:val="auto"/>
          <w:spacing w:val="0"/>
          <w:sz w:val="28"/>
          <w:szCs w:val="28"/>
          <w:u w:val="none"/>
        </w:rPr>
        <w:t>党政机关、事业单位、国有企业要履职尽责，带动全社会形成科学的选人用人理念。新闻媒体要加大对科学教育理念和改革政策的宣传解读力度，合理引导预期，增进社会共识。构建覆盖城乡的家庭教育指导服务体系，引导广大家长树立正确的教育观和成才观。各地要及时总结、宣传、推广教育评价改革的成功经验和典型案例，扩大辐射面，提高影响力。</w:t>
      </w:r>
    </w:p>
    <w:p>
      <w:pPr>
        <w:jc w:val="left"/>
        <w:rPr>
          <w:rFonts w:hint="eastAsia" w:ascii="仿宋" w:hAnsi="仿宋" w:eastAsia="仿宋" w:cs="仿宋"/>
          <w:sz w:val="28"/>
          <w:szCs w:val="28"/>
        </w:rPr>
      </w:pPr>
    </w:p>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FZYaSongS-R-GB">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琥珀">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Narrow">
    <w:panose1 w:val="020B0606020202030204"/>
    <w:charset w:val="00"/>
    <w:family w:val="auto"/>
    <w:pitch w:val="default"/>
    <w:sig w:usb0="00000287" w:usb1="00000800" w:usb2="00000000" w:usb3="00000000" w:csb0="2000009F" w:csb1="DFD70000"/>
  </w:font>
  <w:font w:name="Bahnschrift SemiBold">
    <w:panose1 w:val="020B0502040204020203"/>
    <w:charset w:val="00"/>
    <w:family w:val="auto"/>
    <w:pitch w:val="default"/>
    <w:sig w:usb0="A00002C7" w:usb1="00000002" w:usb2="00000000" w:usb3="00000000" w:csb0="2000019F" w:csb1="00000000"/>
  </w:font>
  <w:font w:name="Bahnschrift SemiLight Condensed">
    <w:panose1 w:val="020B0502040204020203"/>
    <w:charset w:val="00"/>
    <w:family w:val="auto"/>
    <w:pitch w:val="default"/>
    <w:sig w:usb0="A00002C7" w:usb1="00000002" w:usb2="00000000" w:usb3="00000000" w:csb0="2000019F" w:csb1="00000000"/>
  </w:font>
  <w:font w:name="Bauhaus 93">
    <w:panose1 w:val="04030905020B02020C02"/>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Castellar">
    <w:panose1 w:val="020A0402060406010301"/>
    <w:charset w:val="00"/>
    <w:family w:val="auto"/>
    <w:pitch w:val="default"/>
    <w:sig w:usb0="00000003" w:usb1="00000000" w:usb2="00000000" w:usb3="00000000" w:csb0="20000001" w:csb1="00000000"/>
  </w:font>
  <w:font w:name="Colonna MT">
    <w:panose1 w:val="04020805060202030203"/>
    <w:charset w:val="00"/>
    <w:family w:val="auto"/>
    <w:pitch w:val="default"/>
    <w:sig w:usb0="00000003" w:usb1="00000000" w:usb2="00000000" w:usb3="00000000" w:csb0="20000001" w:csb1="00000000"/>
  </w:font>
  <w:font w:name="Copperplate Gothic Light">
    <w:panose1 w:val="020E0507020206020404"/>
    <w:charset w:val="00"/>
    <w:family w:val="auto"/>
    <w:pitch w:val="default"/>
    <w:sig w:usb0="00000003" w:usb1="00000000" w:usb2="00000000" w:usb3="00000000" w:csb0="20000001" w:csb1="00000000"/>
  </w:font>
  <w:font w:name="Courier New">
    <w:panose1 w:val="02070309020205020404"/>
    <w:charset w:val="00"/>
    <w:family w:val="auto"/>
    <w:pitch w:val="default"/>
    <w:sig w:usb0="E0002EFF" w:usb1="C0007843" w:usb2="00000009" w:usb3="00000000" w:csb0="400001FF" w:csb1="FFFF0000"/>
  </w:font>
  <w:font w:name="Ebrima">
    <w:panose1 w:val="02000000000000000000"/>
    <w:charset w:val="00"/>
    <w:family w:val="auto"/>
    <w:pitch w:val="default"/>
    <w:sig w:usb0="A000505F" w:usb1="02000041" w:usb2="00000800" w:usb3="00000404" w:csb0="00000093" w:csb1="00000000"/>
  </w:font>
  <w:font w:name="Eras Bold ITC">
    <w:panose1 w:val="020B0907030504020204"/>
    <w:charset w:val="00"/>
    <w:family w:val="auto"/>
    <w:pitch w:val="default"/>
    <w:sig w:usb0="00000003" w:usb1="00000000" w:usb2="00000000" w:usb3="00000000" w:csb0="20000001" w:csb1="00000000"/>
  </w:font>
  <w:font w:name="Franklin Gothic Demi">
    <w:panose1 w:val="020B0703020102020204"/>
    <w:charset w:val="00"/>
    <w:family w:val="auto"/>
    <w:pitch w:val="default"/>
    <w:sig w:usb0="00000287" w:usb1="00000000" w:usb2="00000000" w:usb3="00000000" w:csb0="2000009F" w:csb1="DFD70000"/>
  </w:font>
  <w:font w:name="Gadugi">
    <w:panose1 w:val="020B0502040204020203"/>
    <w:charset w:val="00"/>
    <w:family w:val="auto"/>
    <w:pitch w:val="default"/>
    <w:sig w:usb0="80000003" w:usb1="02000000" w:usb2="00003000" w:usb3="00000000" w:csb0="00000001" w:csb1="00000000"/>
  </w:font>
  <w:font w:name="Georgia">
    <w:panose1 w:val="02040502050405020303"/>
    <w:charset w:val="00"/>
    <w:family w:val="auto"/>
    <w:pitch w:val="default"/>
    <w:sig w:usb0="00000287" w:usb1="00000000" w:usb2="00000000" w:usb3="00000000" w:csb0="2000009F" w:csb1="00000000"/>
  </w:font>
  <w:font w:name="Gill Sans MT Condensed">
    <w:panose1 w:val="020B0506020104020203"/>
    <w:charset w:val="00"/>
    <w:family w:val="auto"/>
    <w:pitch w:val="default"/>
    <w:sig w:usb0="00000003" w:usb1="00000000" w:usb2="00000000" w:usb3="00000000" w:csb0="20000003" w:csb1="00000000"/>
  </w:font>
  <w:font w:name="Gill Sans Ultra Bold Condensed">
    <w:panose1 w:val="020B0A06020104020203"/>
    <w:charset w:val="00"/>
    <w:family w:val="auto"/>
    <w:pitch w:val="default"/>
    <w:sig w:usb0="00000003" w:usb1="00000000" w:usb2="00000000" w:usb3="00000000" w:csb0="00000003" w:csb1="00000000"/>
  </w:font>
  <w:font w:name="Gloucester MT Extra Condensed">
    <w:panose1 w:val="02030808020601010101"/>
    <w:charset w:val="00"/>
    <w:family w:val="auto"/>
    <w:pitch w:val="default"/>
    <w:sig w:usb0="00000003" w:usb1="00000000" w:usb2="00000000" w:usb3="00000000" w:csb0="20000001" w:csb1="00000000"/>
  </w:font>
  <w:font w:name="High Tower Text">
    <w:panose1 w:val="02040502050506030303"/>
    <w:charset w:val="00"/>
    <w:family w:val="auto"/>
    <w:pitch w:val="default"/>
    <w:sig w:usb0="00000003" w:usb1="00000000" w:usb2="00000000" w:usb3="00000000" w:csb0="20000001" w:csb1="00000000"/>
  </w:font>
  <w:font w:name="Impact">
    <w:panose1 w:val="020B0806030902050204"/>
    <w:charset w:val="00"/>
    <w:family w:val="auto"/>
    <w:pitch w:val="default"/>
    <w:sig w:usb0="00000287" w:usb1="00000000" w:usb2="00000000" w:usb3="00000000" w:csb0="2000009F" w:csb1="DFD70000"/>
  </w:font>
  <w:font w:name="Lucida Calligraphy">
    <w:panose1 w:val="03010101010101010101"/>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Microsoft JhengHei">
    <w:panose1 w:val="020B0604030504040204"/>
    <w:charset w:val="88"/>
    <w:family w:val="auto"/>
    <w:pitch w:val="default"/>
    <w:sig w:usb0="000002A7" w:usb1="28CF4400" w:usb2="00000016" w:usb3="00000000" w:csb0="00100009" w:csb1="00000000"/>
  </w:font>
  <w:font w:name="Microsoft New Tai Lue">
    <w:panose1 w:val="020B0502040204020203"/>
    <w:charset w:val="00"/>
    <w:family w:val="auto"/>
    <w:pitch w:val="default"/>
    <w:sig w:usb0="00000003" w:usb1="00000000" w:usb2="80000000" w:usb3="00000000" w:csb0="00000001" w:csb1="00000000"/>
  </w:font>
  <w:font w:name="Niagara Engraved">
    <w:panose1 w:val="04020502070703030202"/>
    <w:charset w:val="00"/>
    <w:family w:val="auto"/>
    <w:pitch w:val="default"/>
    <w:sig w:usb0="00000003" w:usb1="00000000" w:usb2="00000000" w:usb3="00000000" w:csb0="20000001" w:csb1="00000000"/>
  </w:font>
  <w:font w:name="Nirmala UI Semilight">
    <w:panose1 w:val="020B0402040204020203"/>
    <w:charset w:val="00"/>
    <w:family w:val="auto"/>
    <w:pitch w:val="default"/>
    <w:sig w:usb0="80FF8023" w:usb1="0200004A" w:usb2="00000200" w:usb3="00040000" w:csb0="00000001" w:csb1="00000000"/>
  </w:font>
  <w:font w:name="Papyrus">
    <w:panose1 w:val="03070502060502030205"/>
    <w:charset w:val="00"/>
    <w:family w:val="auto"/>
    <w:pitch w:val="default"/>
    <w:sig w:usb0="00000003" w:usb1="00000000" w:usb2="00000000" w:usb3="00000000" w:csb0="20000001" w:csb1="00000000"/>
  </w:font>
  <w:font w:name="Perpetua Titling MT">
    <w:panose1 w:val="02020502060505020804"/>
    <w:charset w:val="00"/>
    <w:family w:val="auto"/>
    <w:pitch w:val="default"/>
    <w:sig w:usb0="00000003" w:usb1="00000000" w:usb2="00000000" w:usb3="00000000" w:csb0="20000001" w:csb1="00000000"/>
  </w:font>
  <w:font w:name="Poor Richard">
    <w:panose1 w:val="02080502050505020702"/>
    <w:charset w:val="00"/>
    <w:family w:val="auto"/>
    <w:pitch w:val="default"/>
    <w:sig w:usb0="00000003" w:usb1="00000000" w:usb2="00000000" w:usb3="00000000" w:csb0="20000001" w:csb1="00000000"/>
  </w:font>
  <w:font w:name="Ravie">
    <w:panose1 w:val="04040805050809020602"/>
    <w:charset w:val="00"/>
    <w:family w:val="auto"/>
    <w:pitch w:val="default"/>
    <w:sig w:usb0="00000003" w:usb1="00000000" w:usb2="00000000" w:usb3="00000000" w:csb0="20000001" w:csb1="00000000"/>
  </w:font>
  <w:font w:name="Rockwell Extra Bold">
    <w:panose1 w:val="02060903040505020403"/>
    <w:charset w:val="00"/>
    <w:family w:val="auto"/>
    <w:pitch w:val="default"/>
    <w:sig w:usb0="00000003" w:usb1="00000000" w:usb2="00000000" w:usb3="00000000" w:csb0="20000001" w:csb1="00000000"/>
  </w:font>
  <w:font w:name="Segoe UI Light">
    <w:panose1 w:val="020B0502040204020203"/>
    <w:charset w:val="00"/>
    <w:family w:val="auto"/>
    <w:pitch w:val="default"/>
    <w:sig w:usb0="E4002EFF" w:usb1="C000E47F" w:usb2="00000009" w:usb3="00000000" w:csb0="200001FF" w:csb1="00000000"/>
  </w:font>
  <w:font w:name="Segoe UI Semilight">
    <w:panose1 w:val="020B0402040204020203"/>
    <w:charset w:val="00"/>
    <w:family w:val="auto"/>
    <w:pitch w:val="default"/>
    <w:sig w:usb0="E4002EFF" w:usb1="C000E47F" w:usb2="00000009" w:usb3="00000000" w:csb0="200001FF" w:csb1="00000000"/>
  </w:font>
  <w:font w:name="Showcard Gothic">
    <w:panose1 w:val="04020904020102020604"/>
    <w:charset w:val="00"/>
    <w:family w:val="auto"/>
    <w:pitch w:val="default"/>
    <w:sig w:usb0="00000003" w:usb1="00000000" w:usb2="00000000" w:usb3="00000000" w:csb0="20000001" w:csb1="00000000"/>
  </w:font>
  <w:font w:name="Sitka Display">
    <w:panose1 w:val="02000505000000020004"/>
    <w:charset w:val="00"/>
    <w:family w:val="auto"/>
    <w:pitch w:val="default"/>
    <w:sig w:usb0="A00002EF" w:usb1="4000204B" w:usb2="00000000" w:usb3="00000000" w:csb0="2000019F" w:csb1="00000000"/>
  </w:font>
  <w:font w:name="Sylfaen">
    <w:panose1 w:val="010A0502050306030303"/>
    <w:charset w:val="00"/>
    <w:family w:val="auto"/>
    <w:pitch w:val="default"/>
    <w:sig w:usb0="04000687" w:usb1="00000000" w:usb2="00000000" w:usb3="00000000" w:csb0="2000009F" w:csb1="00000000"/>
  </w:font>
  <w:font w:name="Tw Cen MT">
    <w:panose1 w:val="020B0602020104020603"/>
    <w:charset w:val="00"/>
    <w:family w:val="auto"/>
    <w:pitch w:val="default"/>
    <w:sig w:usb0="00000003" w:usb1="00000000" w:usb2="00000000" w:usb3="00000000" w:csb0="20000003" w:csb1="00000000"/>
  </w:font>
  <w:font w:name="Verdana">
    <w:panose1 w:val="020B0604030504040204"/>
    <w:charset w:val="00"/>
    <w:family w:val="auto"/>
    <w:pitch w:val="default"/>
    <w:sig w:usb0="A00006FF" w:usb1="4000205B" w:usb2="00000010" w:usb3="00000000" w:csb0="2000019F" w:csb1="00000000"/>
  </w:font>
  <w:font w:name="Webdings">
    <w:panose1 w:val="05030102010509060703"/>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Wingdings 3">
    <w:panose1 w:val="05040102010807070707"/>
    <w:charset w:val="00"/>
    <w:family w:val="auto"/>
    <w:pitch w:val="default"/>
    <w:sig w:usb0="00000000" w:usb1="00000000" w:usb2="00000000" w:usb3="00000000" w:csb0="80000000" w:csb1="00000000"/>
  </w:font>
  <w:font w:name="Yu Gothic UI Semibold">
    <w:panose1 w:val="020B0700000000000000"/>
    <w:charset w:val="80"/>
    <w:family w:val="auto"/>
    <w:pitch w:val="default"/>
    <w:sig w:usb0="E00002FF" w:usb1="2AC7FDFF" w:usb2="00000016" w:usb3="00000000" w:csb0="2002009F" w:csb1="00000000"/>
  </w:font>
  <w:font w:name="Yu Gothic UI Semilight">
    <w:panose1 w:val="020B04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2B545A"/>
    <w:rsid w:val="08F9564D"/>
    <w:rsid w:val="0D352B8F"/>
    <w:rsid w:val="21D7200F"/>
    <w:rsid w:val="2F503401"/>
    <w:rsid w:val="40616809"/>
    <w:rsid w:val="471F412C"/>
    <w:rsid w:val="50A13664"/>
    <w:rsid w:val="70F80C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2022-04-02T23:02:00Z</dcterms:created>
  <dc:creator>张少女的iPhone</dc:creator>
  <cp:lastModifiedBy>今年十岁</cp:lastModifiedBy>
  <dcterms:modified xsi:type="dcterms:W3CDTF">2022-04-03T05:54:22Z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B41D6523E3C3CDA19E6548620C098700</vt:lpwstr>
  </property>
</Properties>
</file>